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1017A" w:rsidRPr="00FC2145" w:rsidRDefault="0081017A" w:rsidP="00F74106">
      <w:pPr>
        <w:pStyle w:val="Title"/>
        <w:bidi w:val="0"/>
        <w:rPr>
          <w:sz w:val="20"/>
          <w:szCs w:val="20"/>
        </w:rPr>
      </w:pPr>
      <w:r w:rsidRPr="00FC2145">
        <w:rPr>
          <w:sz w:val="20"/>
          <w:szCs w:val="20"/>
        </w:rPr>
        <w:t>Chapter One</w:t>
      </w:r>
    </w:p>
    <w:p w:rsidR="000A09DD" w:rsidRPr="00FC2145" w:rsidRDefault="000A09DD" w:rsidP="000A09DD">
      <w:pPr>
        <w:pStyle w:val="Title"/>
        <w:bidi w:val="0"/>
        <w:rPr>
          <w:sz w:val="20"/>
          <w:szCs w:val="20"/>
        </w:rPr>
      </w:pPr>
    </w:p>
    <w:p w:rsidR="006A480D" w:rsidRPr="00FC2145" w:rsidRDefault="006A480D" w:rsidP="0081017A">
      <w:pPr>
        <w:pStyle w:val="Title"/>
        <w:bidi w:val="0"/>
        <w:rPr>
          <w:szCs w:val="24"/>
        </w:rPr>
      </w:pPr>
      <w:r w:rsidRPr="00FC2145">
        <w:rPr>
          <w:szCs w:val="24"/>
        </w:rPr>
        <w:t>Summary</w:t>
      </w:r>
    </w:p>
    <w:p w:rsidR="006A480D" w:rsidRPr="00FC2145" w:rsidRDefault="006A480D" w:rsidP="006A480D">
      <w:pPr>
        <w:pStyle w:val="Title"/>
        <w:bidi w:val="0"/>
        <w:rPr>
          <w:sz w:val="20"/>
          <w:szCs w:val="20"/>
        </w:rPr>
      </w:pPr>
    </w:p>
    <w:p w:rsidR="00D12C4F" w:rsidRPr="005E7B0E" w:rsidRDefault="00FA472E" w:rsidP="005E7B0E">
      <w:pPr>
        <w:pStyle w:val="Title"/>
        <w:bidi w:val="0"/>
        <w:rPr>
          <w:sz w:val="20"/>
          <w:szCs w:val="20"/>
        </w:rPr>
      </w:pPr>
      <w:r w:rsidRPr="005E7B0E">
        <w:rPr>
          <w:sz w:val="20"/>
          <w:szCs w:val="20"/>
        </w:rPr>
        <mc:AlternateContent>
          <mc:Choice Requires="wps">
            <w:drawing>
              <wp:anchor distT="0" distB="0" distL="114300" distR="114300" simplePos="0" relativeHeight="251660800" behindDoc="0" locked="0" layoutInCell="1" allowOverlap="1">
                <wp:simplePos x="0" y="0"/>
                <wp:positionH relativeFrom="column">
                  <wp:posOffset>3775075</wp:posOffset>
                </wp:positionH>
                <wp:positionV relativeFrom="paragraph">
                  <wp:posOffset>-37465</wp:posOffset>
                </wp:positionV>
                <wp:extent cx="533400" cy="304800"/>
                <wp:effectExtent l="8890" t="10160" r="10160" b="8890"/>
                <wp:wrapNone/>
                <wp:docPr id="2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304800"/>
                        </a:xfrm>
                        <a:prstGeom prst="rect">
                          <a:avLst/>
                        </a:prstGeom>
                        <a:solidFill>
                          <a:srgbClr val="FFFFFF"/>
                        </a:solidFill>
                        <a:ln w="9525">
                          <a:solidFill>
                            <a:srgbClr val="000000"/>
                          </a:solidFill>
                          <a:miter lim="800000"/>
                          <a:headEnd/>
                          <a:tailEnd/>
                        </a:ln>
                      </wps:spPr>
                      <wps:txbx>
                        <w:txbxContent>
                          <w:p w:rsidR="008832A6" w:rsidRDefault="008832A6" w:rsidP="00045CF3">
                            <w:pPr>
                              <w:jc w:val="center"/>
                              <w:rPr>
                                <w:b/>
                                <w:bCs/>
                                <w:sz w:val="28"/>
                                <w:szCs w:val="28"/>
                              </w:rPr>
                            </w:pPr>
                            <w:r>
                              <w:rPr>
                                <w:sz w:val="28"/>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297.25pt;margin-top:-2.95pt;width:42pt;height:2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">
                <v:textbox>
                  <w:txbxContent>
                    <w:p w:rsidR="008832A6" w:rsidRDefault="008832A6" w:rsidP="00045CF3">
                      <w:pPr>
                        <w:jc w:val="center"/>
                        <w:rPr>
                          <w:b/>
                          <w:bCs/>
                          <w:sz w:val="28"/>
                          <w:szCs w:val="28"/>
                        </w:rPr>
                      </w:pPr>
                      <w:r>
                        <w:rPr>
                          <w:sz w:val="28"/>
                        </w:rPr>
                        <w:t>1.1</w:t>
                      </w:r>
                    </w:p>
                  </w:txbxContent>
                </v:textbox>
              </v:rect>
            </w:pict>
          </mc:Fallback>
        </mc:AlternateContent>
      </w:r>
      <w:r w:rsidR="00045CF3" w:rsidRPr="00FC2145">
        <w:rPr>
          <w:sz w:val="20"/>
          <w:szCs w:val="20"/>
        </w:rPr>
        <w:t>Palestinians in</w:t>
      </w:r>
      <w:r w:rsidR="005E7B0E">
        <w:rPr>
          <w:sz w:val="20"/>
          <w:szCs w:val="20"/>
        </w:rPr>
        <w:t xml:space="preserve"> </w:t>
      </w:r>
      <w:r w:rsidR="005E7B0E" w:rsidRPr="005E7B0E">
        <w:rPr>
          <w:sz w:val="20"/>
          <w:szCs w:val="20"/>
        </w:rPr>
        <w:t xml:space="preserve">State of Palestine </w:t>
      </w:r>
      <w:r w:rsidR="00045CF3" w:rsidRPr="00FC2145">
        <w:rPr>
          <w:sz w:val="20"/>
          <w:szCs w:val="20"/>
        </w:rPr>
        <w:t xml:space="preserve"> </w:t>
      </w:r>
    </w:p>
    <w:p w:rsidR="00045CF3" w:rsidRPr="00FC2145" w:rsidRDefault="00045CF3" w:rsidP="00F74106">
      <w:pPr>
        <w:jc w:val="center"/>
      </w:pPr>
      <w:r w:rsidRPr="00FC2145">
        <w:rPr>
          <w:b/>
          <w:bCs/>
        </w:rPr>
        <w:t>(West Bank and Gaza Strip)</w:t>
      </w:r>
      <w:r w:rsidR="00D12C4F" w:rsidRPr="00FC2145">
        <w:t xml:space="preserve"> </w:t>
      </w:r>
    </w:p>
    <w:p w:rsidR="00527986" w:rsidRPr="00FC2145" w:rsidRDefault="00527986" w:rsidP="00F74106">
      <w:pPr>
        <w:jc w:val="center"/>
      </w:pPr>
    </w:p>
    <w:p w:rsidR="00254E3E" w:rsidRPr="00FC2145" w:rsidRDefault="00254E3E" w:rsidP="00254E3E">
      <w:pPr>
        <w:pStyle w:val="Title"/>
        <w:numPr>
          <w:ilvl w:val="0"/>
          <w:numId w:val="19"/>
        </w:numPr>
        <w:bidi w:val="0"/>
        <w:ind w:left="252" w:hanging="252"/>
        <w:jc w:val="left"/>
        <w:rPr>
          <w:rFonts w:cs="Traditional Arabic"/>
          <w:noProof w:val="0"/>
          <w:sz w:val="20"/>
          <w:szCs w:val="20"/>
          <w:rtl/>
        </w:rPr>
      </w:pPr>
      <w:r w:rsidRPr="00FC2145">
        <w:rPr>
          <w:rFonts w:cs="Traditional Arabic"/>
          <w:sz w:val="20"/>
          <w:szCs w:val="20"/>
        </w:rPr>
        <w:t xml:space="preserve">Population                                                         </w:t>
      </w:r>
    </w:p>
    <w:p w:rsidR="003A67ED" w:rsidRPr="00FC2145" w:rsidRDefault="003A67ED" w:rsidP="003920BA">
      <w:pPr>
        <w:pStyle w:val="BodyText2"/>
        <w:numPr>
          <w:ilvl w:val="0"/>
          <w:numId w:val="31"/>
        </w:numPr>
        <w:overflowPunct/>
        <w:autoSpaceDE/>
        <w:autoSpaceDN/>
        <w:adjustRightInd/>
        <w:textAlignment w:val="auto"/>
      </w:pPr>
      <w:r w:rsidRPr="00FC2145">
        <w:t xml:space="preserve">The population of Palestine </w:t>
      </w:r>
      <w:proofErr w:type="gramStart"/>
      <w:r w:rsidRPr="00FC2145">
        <w:t>was estimated</w:t>
      </w:r>
      <w:proofErr w:type="gramEnd"/>
      <w:r w:rsidRPr="00FC2145">
        <w:t xml:space="preserve"> at 5.</w:t>
      </w:r>
      <w:r w:rsidRPr="00FC2145">
        <w:rPr>
          <w:rFonts w:hint="cs"/>
          <w:rtl/>
        </w:rPr>
        <w:t>23</w:t>
      </w:r>
      <w:r w:rsidRPr="00FC2145">
        <w:t xml:space="preserve"> million in mid-</w:t>
      </w:r>
      <w:r w:rsidRPr="00FC2145">
        <w:rPr>
          <w:rFonts w:hint="cs"/>
          <w:rtl/>
        </w:rPr>
        <w:t>2021</w:t>
      </w:r>
      <w:r w:rsidRPr="00FC2145">
        <w:t>: 3.</w:t>
      </w:r>
      <w:r w:rsidRPr="00FC2145">
        <w:rPr>
          <w:rFonts w:hint="cs"/>
          <w:rtl/>
        </w:rPr>
        <w:t>12</w:t>
      </w:r>
      <w:r w:rsidRPr="00FC2145">
        <w:t xml:space="preserve"> million in the West Bank and </w:t>
      </w:r>
      <w:r w:rsidRPr="00FC2145">
        <w:rPr>
          <w:rFonts w:hint="cs"/>
          <w:rtl/>
        </w:rPr>
        <w:t>2</w:t>
      </w:r>
      <w:r w:rsidRPr="00FC2145">
        <w:t>.</w:t>
      </w:r>
      <w:r w:rsidRPr="00FC2145">
        <w:rPr>
          <w:rFonts w:hint="cs"/>
          <w:rtl/>
        </w:rPr>
        <w:t>11</w:t>
      </w:r>
      <w:r w:rsidRPr="00FC2145">
        <w:t xml:space="preserve"> million in Gaza Strip.</w:t>
      </w:r>
    </w:p>
    <w:p w:rsidR="003A67ED" w:rsidRPr="00FC2145" w:rsidRDefault="003C4F1C" w:rsidP="003920BA">
      <w:pPr>
        <w:pStyle w:val="BodyText2"/>
        <w:numPr>
          <w:ilvl w:val="0"/>
          <w:numId w:val="32"/>
        </w:numPr>
        <w:overflowPunct/>
        <w:autoSpaceDE/>
        <w:autoSpaceDN/>
        <w:adjustRightInd/>
        <w:textAlignment w:val="auto"/>
        <w:rPr>
          <w:noProof/>
        </w:rPr>
      </w:pPr>
      <w:r w:rsidRPr="00FC2145">
        <w:rPr>
          <w:noProof/>
        </w:rPr>
        <w:drawing>
          <wp:anchor distT="0" distB="0" distL="114300" distR="114300" simplePos="0" relativeHeight="251674624" behindDoc="0" locked="0" layoutInCell="1" allowOverlap="1" wp14:anchorId="495B59A2" wp14:editId="508A6FC5">
            <wp:simplePos x="0" y="0"/>
            <wp:positionH relativeFrom="column">
              <wp:posOffset>1735760</wp:posOffset>
            </wp:positionH>
            <wp:positionV relativeFrom="paragraph">
              <wp:posOffset>536575</wp:posOffset>
            </wp:positionV>
            <wp:extent cx="3156585" cy="4240530"/>
            <wp:effectExtent l="19050" t="19050" r="24765" b="26670"/>
            <wp:wrapSquare wrapText="bothSides"/>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كتاب فلسطين الاحصائي السنوي 2020 نهائي\كتاب فلسطين الاحصائي السنوي 2020-PHCD\خرائط\Population_2020_En.png"/>
                    <pic:cNvPicPr>
                      <a:picLocks noChangeAspect="1" noChangeArrowheads="1"/>
                    </pic:cNvPicPr>
                  </pic:nvPicPr>
                  <pic:blipFill rotWithShape="1">
                    <a:blip r:embed="rId8">
                      <a:extLst>
                        <a:ext uri="{28A0092B-C50C-407E-A947-70E740481C1C}">
                          <a14:useLocalDpi xmlns:a14="http://schemas.microsoft.com/office/drawing/2010/main" val="0"/>
                        </a:ext>
                      </a:extLst>
                    </a:blip>
                    <a:srcRect l="6831" t="12938" r="6553" b="13574"/>
                    <a:stretch/>
                  </pic:blipFill>
                  <pic:spPr bwMode="auto">
                    <a:xfrm>
                      <a:off x="0" y="0"/>
                      <a:ext cx="3156585" cy="424053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A67ED" w:rsidRPr="00FC2145">
        <w:rPr>
          <w:noProof/>
        </w:rPr>
        <w:t xml:space="preserve">The population of Palestine is young: </w:t>
      </w:r>
      <w:r w:rsidR="003A67ED" w:rsidRPr="00FC2145">
        <w:rPr>
          <w:rFonts w:hint="cs"/>
          <w:noProof/>
          <w:rtl/>
        </w:rPr>
        <w:t>37.9</w:t>
      </w:r>
      <w:r w:rsidR="003A67ED" w:rsidRPr="00FC2145">
        <w:rPr>
          <w:noProof/>
        </w:rPr>
        <w:t>% of the total population were under 15 years in mid-</w:t>
      </w:r>
      <w:r w:rsidR="003A67ED" w:rsidRPr="00FC2145">
        <w:rPr>
          <w:rFonts w:hint="cs"/>
          <w:noProof/>
          <w:rtl/>
        </w:rPr>
        <w:t>2021</w:t>
      </w:r>
      <w:r w:rsidR="003A67ED" w:rsidRPr="00FC2145">
        <w:rPr>
          <w:noProof/>
        </w:rPr>
        <w:t xml:space="preserve">: </w:t>
      </w:r>
      <w:r w:rsidR="003A67ED" w:rsidRPr="00FC2145">
        <w:rPr>
          <w:rFonts w:hint="cs"/>
          <w:noProof/>
          <w:rtl/>
        </w:rPr>
        <w:t>35.8</w:t>
      </w:r>
      <w:r w:rsidR="003A67ED" w:rsidRPr="00FC2145">
        <w:rPr>
          <w:noProof/>
        </w:rPr>
        <w:t>% in the West Bank and 41.</w:t>
      </w:r>
      <w:r w:rsidR="003A67ED" w:rsidRPr="00FC2145">
        <w:rPr>
          <w:rFonts w:hint="cs"/>
          <w:noProof/>
          <w:rtl/>
        </w:rPr>
        <w:t>0</w:t>
      </w:r>
      <w:r w:rsidR="003A67ED" w:rsidRPr="00FC2145">
        <w:rPr>
          <w:noProof/>
        </w:rPr>
        <w:t>% in Gaza Strip.  Persons aged 65 and above constituted 3.</w:t>
      </w:r>
      <w:r w:rsidR="003A67ED" w:rsidRPr="00FC2145">
        <w:rPr>
          <w:rFonts w:hint="cs"/>
          <w:noProof/>
          <w:rtl/>
        </w:rPr>
        <w:t>4</w:t>
      </w:r>
      <w:r w:rsidR="003A67ED" w:rsidRPr="00FC2145">
        <w:rPr>
          <w:noProof/>
        </w:rPr>
        <w:t>% of the total population: 3.</w:t>
      </w:r>
      <w:r w:rsidR="003A67ED" w:rsidRPr="00FC2145">
        <w:rPr>
          <w:rFonts w:hint="cs"/>
          <w:noProof/>
          <w:rtl/>
        </w:rPr>
        <w:t>7</w:t>
      </w:r>
      <w:r w:rsidR="003A67ED" w:rsidRPr="00FC2145">
        <w:rPr>
          <w:noProof/>
        </w:rPr>
        <w:t>% in the West Bank and 2.9% in Gaza Strip. </w:t>
      </w:r>
    </w:p>
    <w:p w:rsidR="003A67ED" w:rsidRPr="00FC2145" w:rsidRDefault="003A67ED" w:rsidP="003920BA">
      <w:pPr>
        <w:pStyle w:val="BodyText2"/>
        <w:numPr>
          <w:ilvl w:val="0"/>
          <w:numId w:val="33"/>
        </w:numPr>
        <w:overflowPunct/>
        <w:autoSpaceDE/>
        <w:autoSpaceDN/>
        <w:adjustRightInd/>
        <w:textAlignment w:val="auto"/>
        <w:rPr>
          <w:noProof/>
        </w:rPr>
      </w:pPr>
      <w:r w:rsidRPr="00FC2145">
        <w:rPr>
          <w:noProof/>
        </w:rPr>
        <w:t>The total fertility rate in Palestine between 2017 and 2019 was 3.8 births: 3.8 births in the West Bank and 3.9 births in Gaza Strip.</w:t>
      </w:r>
    </w:p>
    <w:p w:rsidR="003A67ED" w:rsidRPr="00FC2145" w:rsidRDefault="003A67ED" w:rsidP="00C0181D">
      <w:pPr>
        <w:pStyle w:val="BodyText2"/>
        <w:numPr>
          <w:ilvl w:val="0"/>
          <w:numId w:val="34"/>
        </w:numPr>
        <w:overflowPunct/>
        <w:autoSpaceDE/>
        <w:autoSpaceDN/>
        <w:adjustRightInd/>
        <w:textAlignment w:val="auto"/>
        <w:rPr>
          <w:noProof/>
        </w:rPr>
      </w:pPr>
      <w:r w:rsidRPr="00FC2145">
        <w:rPr>
          <w:noProof/>
        </w:rPr>
        <w:t>The Annual estimated growth rate of the Palestinian population was 2.</w:t>
      </w:r>
      <w:r w:rsidRPr="00FC2145">
        <w:rPr>
          <w:rFonts w:hint="cs"/>
          <w:noProof/>
          <w:rtl/>
        </w:rPr>
        <w:t>4</w:t>
      </w:r>
      <w:r w:rsidRPr="00FC2145">
        <w:rPr>
          <w:noProof/>
        </w:rPr>
        <w:t xml:space="preserve">% in Palestine in mid </w:t>
      </w:r>
      <w:r w:rsidRPr="00FC2145">
        <w:rPr>
          <w:rFonts w:hint="cs"/>
          <w:noProof/>
          <w:rtl/>
        </w:rPr>
        <w:t>2021</w:t>
      </w:r>
      <w:r w:rsidRPr="00FC2145">
        <w:rPr>
          <w:noProof/>
        </w:rPr>
        <w:t>: 2.2% in the West Bank and 2.</w:t>
      </w:r>
      <w:r w:rsidR="00C0181D" w:rsidRPr="00FC2145">
        <w:rPr>
          <w:noProof/>
        </w:rPr>
        <w:t>8</w:t>
      </w:r>
      <w:r w:rsidRPr="00FC2145">
        <w:rPr>
          <w:noProof/>
        </w:rPr>
        <w:t>% in Gaza Strip.</w:t>
      </w:r>
    </w:p>
    <w:p w:rsidR="003A67ED" w:rsidRPr="00FC2145" w:rsidRDefault="003A67ED" w:rsidP="003920BA">
      <w:pPr>
        <w:pStyle w:val="BodyText2"/>
        <w:numPr>
          <w:ilvl w:val="0"/>
          <w:numId w:val="35"/>
        </w:numPr>
        <w:overflowPunct/>
        <w:autoSpaceDE/>
        <w:autoSpaceDN/>
        <w:adjustRightInd/>
        <w:textAlignment w:val="auto"/>
        <w:rPr>
          <w:noProof/>
        </w:rPr>
      </w:pPr>
      <w:r w:rsidRPr="00FC2145">
        <w:rPr>
          <w:noProof/>
        </w:rPr>
        <w:t xml:space="preserve">In </w:t>
      </w:r>
      <w:r w:rsidRPr="00FC2145">
        <w:rPr>
          <w:rFonts w:hint="cs"/>
          <w:noProof/>
          <w:rtl/>
        </w:rPr>
        <w:t>2021</w:t>
      </w:r>
      <w:r w:rsidRPr="00FC2145">
        <w:rPr>
          <w:noProof/>
        </w:rPr>
        <w:t>, life expectancy at birth in Palestine was 74.</w:t>
      </w:r>
      <w:r w:rsidRPr="00FC2145">
        <w:rPr>
          <w:rFonts w:hint="cs"/>
          <w:noProof/>
          <w:rtl/>
        </w:rPr>
        <w:t>2</w:t>
      </w:r>
      <w:r w:rsidRPr="00FC2145">
        <w:rPr>
          <w:noProof/>
        </w:rPr>
        <w:t xml:space="preserve"> years: 73.</w:t>
      </w:r>
      <w:r w:rsidRPr="00FC2145">
        <w:rPr>
          <w:rFonts w:hint="cs"/>
          <w:noProof/>
          <w:rtl/>
        </w:rPr>
        <w:t>1</w:t>
      </w:r>
      <w:r w:rsidRPr="00FC2145">
        <w:rPr>
          <w:noProof/>
        </w:rPr>
        <w:t xml:space="preserve"> years for males and 75.3 years for females.</w:t>
      </w:r>
    </w:p>
    <w:p w:rsidR="003A67ED" w:rsidRPr="00FC2145" w:rsidRDefault="003A67ED" w:rsidP="00CD10FD">
      <w:pPr>
        <w:pStyle w:val="BodyText2"/>
        <w:numPr>
          <w:ilvl w:val="0"/>
          <w:numId w:val="36"/>
        </w:numPr>
        <w:overflowPunct/>
        <w:autoSpaceDE/>
        <w:autoSpaceDN/>
        <w:adjustRightInd/>
        <w:textAlignment w:val="auto"/>
        <w:rPr>
          <w:noProof/>
        </w:rPr>
      </w:pPr>
      <w:r w:rsidRPr="00FC2145">
        <w:rPr>
          <w:noProof/>
        </w:rPr>
        <w:t xml:space="preserve">In </w:t>
      </w:r>
      <w:r w:rsidR="00CD10FD">
        <w:rPr>
          <w:noProof/>
        </w:rPr>
        <w:t>2020</w:t>
      </w:r>
      <w:r w:rsidRPr="00FC2145">
        <w:rPr>
          <w:noProof/>
        </w:rPr>
        <w:t xml:space="preserve">, Palestinian refugees constituted </w:t>
      </w:r>
      <w:r w:rsidR="00CD10FD">
        <w:rPr>
          <w:noProof/>
        </w:rPr>
        <w:t>40.5</w:t>
      </w:r>
      <w:r w:rsidRPr="00FC2145">
        <w:rPr>
          <w:noProof/>
        </w:rPr>
        <w:t xml:space="preserve">% of the total population: </w:t>
      </w:r>
      <w:r w:rsidR="00CD10FD">
        <w:rPr>
          <w:noProof/>
        </w:rPr>
        <w:t>23.9</w:t>
      </w:r>
      <w:r w:rsidRPr="00FC2145">
        <w:rPr>
          <w:noProof/>
        </w:rPr>
        <w:t xml:space="preserve">% in the West Bank and </w:t>
      </w:r>
      <w:r w:rsidR="00CD10FD">
        <w:rPr>
          <w:noProof/>
        </w:rPr>
        <w:t>64.8</w:t>
      </w:r>
      <w:r w:rsidRPr="00FC2145">
        <w:rPr>
          <w:noProof/>
        </w:rPr>
        <w:t>% in Gaza Strip.</w:t>
      </w:r>
    </w:p>
    <w:p w:rsidR="003A67ED" w:rsidRPr="00FC2145" w:rsidRDefault="003A67ED" w:rsidP="003920BA">
      <w:pPr>
        <w:pStyle w:val="BodyText2"/>
        <w:numPr>
          <w:ilvl w:val="0"/>
          <w:numId w:val="37"/>
        </w:numPr>
        <w:overflowPunct/>
        <w:autoSpaceDE/>
        <w:autoSpaceDN/>
        <w:adjustRightInd/>
        <w:textAlignment w:val="auto"/>
        <w:rPr>
          <w:noProof/>
        </w:rPr>
      </w:pPr>
      <w:r w:rsidRPr="00FC2145">
        <w:rPr>
          <w:noProof/>
        </w:rPr>
        <w:t xml:space="preserve">The average household size in Palestine was 5.1 persons in </w:t>
      </w:r>
      <w:r w:rsidRPr="00FC2145">
        <w:rPr>
          <w:rFonts w:hint="cs"/>
          <w:noProof/>
          <w:rtl/>
        </w:rPr>
        <w:t>2020</w:t>
      </w:r>
      <w:r w:rsidRPr="00FC2145">
        <w:rPr>
          <w:noProof/>
        </w:rPr>
        <w:t>: 4.</w:t>
      </w:r>
      <w:r w:rsidRPr="00FC2145">
        <w:rPr>
          <w:rFonts w:hint="cs"/>
          <w:noProof/>
          <w:rtl/>
        </w:rPr>
        <w:t>7</w:t>
      </w:r>
      <w:r w:rsidRPr="00FC2145">
        <w:rPr>
          <w:noProof/>
        </w:rPr>
        <w:t xml:space="preserve"> persons in the West Bank and 5.</w:t>
      </w:r>
      <w:r w:rsidRPr="00FC2145">
        <w:rPr>
          <w:rFonts w:hint="cs"/>
          <w:noProof/>
          <w:rtl/>
        </w:rPr>
        <w:t>7</w:t>
      </w:r>
      <w:r w:rsidRPr="00FC2145">
        <w:rPr>
          <w:noProof/>
        </w:rPr>
        <w:t xml:space="preserve"> persons in Gaza Strip.</w:t>
      </w:r>
    </w:p>
    <w:p w:rsidR="00007BF1" w:rsidRPr="00FC2145" w:rsidRDefault="00007BF1" w:rsidP="00F35C5B">
      <w:pPr>
        <w:pStyle w:val="BodyText2"/>
        <w:overflowPunct/>
        <w:autoSpaceDE/>
        <w:autoSpaceDN/>
        <w:adjustRightInd/>
        <w:textAlignment w:val="auto"/>
        <w:rPr>
          <w:noProof/>
          <w:sz w:val="12"/>
          <w:szCs w:val="12"/>
        </w:rPr>
      </w:pPr>
    </w:p>
    <w:p w:rsidR="00527986" w:rsidRDefault="00527986" w:rsidP="00793CB8">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population, see the tables in chapter 1.</w:t>
      </w:r>
      <w:r w:rsidR="00747CC0" w:rsidRPr="00FC2145">
        <w:rPr>
          <w:rFonts w:cs="Times New Roman"/>
          <w:b/>
          <w:bCs/>
          <w:i/>
          <w:iCs/>
          <w:sz w:val="18"/>
          <w:szCs w:val="18"/>
          <w:u w:val="single"/>
        </w:rPr>
        <w:t>1</w:t>
      </w:r>
      <w:r w:rsidRPr="00FC2145">
        <w:rPr>
          <w:rFonts w:cs="Times New Roman"/>
          <w:b/>
          <w:bCs/>
          <w:i/>
          <w:iCs/>
          <w:sz w:val="18"/>
          <w:szCs w:val="18"/>
          <w:u w:val="single"/>
        </w:rPr>
        <w:t xml:space="preserve"> in the Arabic section, pages </w:t>
      </w:r>
      <w:r w:rsidR="0088567C" w:rsidRPr="00FC2145">
        <w:rPr>
          <w:rFonts w:cs="Times New Roman"/>
          <w:b/>
          <w:bCs/>
          <w:i/>
          <w:iCs/>
          <w:sz w:val="18"/>
          <w:szCs w:val="18"/>
          <w:u w:val="single"/>
        </w:rPr>
        <w:t>19</w:t>
      </w:r>
      <w:r w:rsidRPr="00FC2145">
        <w:rPr>
          <w:rFonts w:cs="Times New Roman"/>
          <w:b/>
          <w:bCs/>
          <w:i/>
          <w:iCs/>
          <w:sz w:val="18"/>
          <w:szCs w:val="18"/>
          <w:u w:val="single"/>
        </w:rPr>
        <w:t>-</w:t>
      </w:r>
      <w:r w:rsidR="0088567C" w:rsidRPr="00FC2145">
        <w:rPr>
          <w:rFonts w:cs="Times New Roman"/>
          <w:b/>
          <w:bCs/>
          <w:i/>
          <w:iCs/>
          <w:sz w:val="18"/>
          <w:szCs w:val="18"/>
          <w:u w:val="single"/>
        </w:rPr>
        <w:t>2</w:t>
      </w:r>
      <w:r w:rsidR="00793CB8" w:rsidRPr="00FC2145">
        <w:rPr>
          <w:rFonts w:cs="Times New Roman"/>
          <w:b/>
          <w:bCs/>
          <w:i/>
          <w:iCs/>
          <w:sz w:val="18"/>
          <w:szCs w:val="18"/>
          <w:u w:val="single"/>
        </w:rPr>
        <w:t>6</w:t>
      </w:r>
      <w:r w:rsidRPr="00FC2145">
        <w:rPr>
          <w:rFonts w:cs="Times New Roman"/>
          <w:b/>
          <w:bCs/>
          <w:i/>
          <w:iCs/>
          <w:sz w:val="18"/>
          <w:szCs w:val="18"/>
          <w:u w:val="single"/>
        </w:rPr>
        <w:t>.</w:t>
      </w:r>
    </w:p>
    <w:p w:rsidR="0033638A" w:rsidRPr="00FC2145" w:rsidRDefault="0033638A" w:rsidP="0033638A">
      <w:pPr>
        <w:pStyle w:val="ListParagraph"/>
        <w:bidi w:val="0"/>
        <w:ind w:left="0"/>
        <w:jc w:val="lowKashida"/>
        <w:rPr>
          <w:rFonts w:cs="Times New Roman"/>
          <w:b/>
          <w:bCs/>
          <w:i/>
          <w:iCs/>
          <w:sz w:val="18"/>
          <w:szCs w:val="18"/>
          <w:u w:val="single"/>
        </w:rPr>
      </w:pPr>
    </w:p>
    <w:p w:rsidR="00527986" w:rsidRPr="00FC2145" w:rsidRDefault="00527986" w:rsidP="00332048">
      <w:pPr>
        <w:pStyle w:val="Title"/>
        <w:numPr>
          <w:ilvl w:val="0"/>
          <w:numId w:val="19"/>
        </w:numPr>
        <w:bidi w:val="0"/>
        <w:ind w:left="252" w:hanging="252"/>
        <w:jc w:val="left"/>
        <w:rPr>
          <w:rFonts w:cs="Traditional Arabic"/>
          <w:sz w:val="20"/>
          <w:szCs w:val="20"/>
        </w:rPr>
      </w:pPr>
      <w:r w:rsidRPr="00FC2145">
        <w:rPr>
          <w:rFonts w:cs="Traditional Arabic"/>
          <w:sz w:val="20"/>
          <w:szCs w:val="20"/>
        </w:rPr>
        <w:t xml:space="preserve">Vital Statistics            </w:t>
      </w:r>
    </w:p>
    <w:p w:rsidR="00026A36" w:rsidRPr="00FC2145" w:rsidRDefault="00026A36" w:rsidP="00E476EA">
      <w:pPr>
        <w:pStyle w:val="BodyText2"/>
        <w:numPr>
          <w:ilvl w:val="0"/>
          <w:numId w:val="2"/>
        </w:numPr>
        <w:overflowPunct/>
        <w:autoSpaceDE/>
        <w:autoSpaceDN/>
        <w:adjustRightInd/>
        <w:spacing w:after="120"/>
        <w:textAlignment w:val="auto"/>
        <w:rPr>
          <w:noProof/>
        </w:rPr>
      </w:pPr>
      <w:r w:rsidRPr="00FC2145">
        <w:t xml:space="preserve">The Data of registered births and registered deaths does not include Jerusalem ID holders. The number of live births registered in Palestine in </w:t>
      </w:r>
      <w:r w:rsidR="00E476EA" w:rsidRPr="00FC2145">
        <w:t>2020</w:t>
      </w:r>
      <w:r w:rsidRPr="00FC2145">
        <w:t xml:space="preserve"> was 13</w:t>
      </w:r>
      <w:r w:rsidR="00E476EA" w:rsidRPr="00FC2145">
        <w:t>2</w:t>
      </w:r>
      <w:r w:rsidRPr="00FC2145">
        <w:t>,</w:t>
      </w:r>
      <w:r w:rsidR="00E476EA" w:rsidRPr="00FC2145">
        <w:t>29</w:t>
      </w:r>
      <w:r w:rsidRPr="00FC2145">
        <w:t>1</w:t>
      </w:r>
      <w:r w:rsidR="00C41B5B" w:rsidRPr="00FC2145">
        <w:t xml:space="preserve"> births</w:t>
      </w:r>
      <w:r w:rsidRPr="00FC2145">
        <w:t xml:space="preserve">, comprising </w:t>
      </w:r>
      <w:r w:rsidR="00E476EA" w:rsidRPr="00FC2145">
        <w:t>78</w:t>
      </w:r>
      <w:r w:rsidRPr="00FC2145">
        <w:t>,</w:t>
      </w:r>
      <w:r w:rsidR="00E476EA" w:rsidRPr="00FC2145">
        <w:t>409</w:t>
      </w:r>
      <w:r w:rsidRPr="00FC2145">
        <w:t xml:space="preserve"> </w:t>
      </w:r>
      <w:r w:rsidR="00C41B5B" w:rsidRPr="00FC2145">
        <w:t xml:space="preserve">births </w:t>
      </w:r>
      <w:r w:rsidRPr="00FC2145">
        <w:t xml:space="preserve">in the West Bank and </w:t>
      </w:r>
      <w:r w:rsidR="00E476EA" w:rsidRPr="00FC2145">
        <w:t>53</w:t>
      </w:r>
      <w:r w:rsidRPr="00FC2145">
        <w:t>,</w:t>
      </w:r>
      <w:r w:rsidR="00E476EA" w:rsidRPr="00FC2145">
        <w:t>882</w:t>
      </w:r>
      <w:r w:rsidRPr="00FC2145">
        <w:t xml:space="preserve"> </w:t>
      </w:r>
      <w:r w:rsidR="00C41B5B" w:rsidRPr="00FC2145">
        <w:t xml:space="preserve">births </w:t>
      </w:r>
      <w:r w:rsidRPr="00FC2145">
        <w:t xml:space="preserve">in Gaza Strip. While the </w:t>
      </w:r>
      <w:r w:rsidRPr="00FC2145">
        <w:lastRenderedPageBreak/>
        <w:t xml:space="preserve">number of registered deaths in the same year was </w:t>
      </w:r>
      <w:r w:rsidR="00E476EA" w:rsidRPr="00FC2145">
        <w:t>14</w:t>
      </w:r>
      <w:r w:rsidRPr="00FC2145">
        <w:t>,</w:t>
      </w:r>
      <w:r w:rsidR="00E476EA" w:rsidRPr="00FC2145">
        <w:t>106</w:t>
      </w:r>
      <w:r w:rsidRPr="00FC2145">
        <w:t xml:space="preserve"> in Palestine of which </w:t>
      </w:r>
      <w:r w:rsidR="00E476EA" w:rsidRPr="00FC2145">
        <w:t>8</w:t>
      </w:r>
      <w:r w:rsidRPr="00FC2145">
        <w:t>,</w:t>
      </w:r>
      <w:r w:rsidR="00E476EA" w:rsidRPr="00FC2145">
        <w:t>765</w:t>
      </w:r>
      <w:r w:rsidRPr="00FC2145">
        <w:t xml:space="preserve"> were in the West Bank and 5,</w:t>
      </w:r>
      <w:r w:rsidR="00E476EA" w:rsidRPr="00FC2145">
        <w:t>341</w:t>
      </w:r>
      <w:r w:rsidRPr="00FC2145">
        <w:t xml:space="preserve"> in Gaza Strip</w:t>
      </w:r>
    </w:p>
    <w:p w:rsidR="00B95F8F" w:rsidRPr="00FC2145" w:rsidRDefault="00B95F8F" w:rsidP="00B95F8F">
      <w:pPr>
        <w:pStyle w:val="BodyText2"/>
        <w:numPr>
          <w:ilvl w:val="0"/>
          <w:numId w:val="2"/>
        </w:numPr>
        <w:overflowPunct/>
        <w:autoSpaceDE/>
        <w:autoSpaceDN/>
        <w:adjustRightInd/>
        <w:spacing w:after="120"/>
        <w:ind w:left="266" w:hanging="266"/>
        <w:textAlignment w:val="auto"/>
        <w:rPr>
          <w:noProof/>
        </w:rPr>
      </w:pPr>
      <w:r w:rsidRPr="00FC2145">
        <w:rPr>
          <w:noProof/>
        </w:rPr>
        <w:t xml:space="preserve">The median age at first marriage in Palestine was </w:t>
      </w:r>
      <w:r w:rsidRPr="00FC2145">
        <w:rPr>
          <w:rFonts w:hint="cs"/>
          <w:noProof/>
          <w:rtl/>
        </w:rPr>
        <w:t>21</w:t>
      </w:r>
      <w:r w:rsidRPr="00FC2145">
        <w:rPr>
          <w:noProof/>
        </w:rPr>
        <w:t xml:space="preserve"> years for females and 25.</w:t>
      </w:r>
      <w:r w:rsidRPr="00FC2145">
        <w:rPr>
          <w:rFonts w:hint="cs"/>
          <w:noProof/>
          <w:rtl/>
        </w:rPr>
        <w:t>7</w:t>
      </w:r>
      <w:r w:rsidRPr="00FC2145">
        <w:rPr>
          <w:noProof/>
        </w:rPr>
        <w:t xml:space="preserve"> years for males in </w:t>
      </w:r>
      <w:r w:rsidRPr="00FC2145">
        <w:rPr>
          <w:rFonts w:hint="cs"/>
          <w:noProof/>
          <w:rtl/>
        </w:rPr>
        <w:t>2020</w:t>
      </w:r>
      <w:r w:rsidRPr="00FC2145">
        <w:rPr>
          <w:noProof/>
        </w:rPr>
        <w:t xml:space="preserve">.  The number of registered marriages in </w:t>
      </w:r>
      <w:r w:rsidRPr="00FC2145">
        <w:rPr>
          <w:rFonts w:hint="cs"/>
          <w:noProof/>
          <w:rtl/>
        </w:rPr>
        <w:t>2020</w:t>
      </w:r>
      <w:r w:rsidRPr="00FC2145">
        <w:rPr>
          <w:noProof/>
        </w:rPr>
        <w:t xml:space="preserve"> at Sharia courts and churches in Palestine was </w:t>
      </w:r>
      <w:r w:rsidRPr="00FC2145">
        <w:rPr>
          <w:rFonts w:hint="cs"/>
          <w:noProof/>
          <w:rtl/>
        </w:rPr>
        <w:t>41</w:t>
      </w:r>
      <w:r w:rsidRPr="00FC2145">
        <w:rPr>
          <w:noProof/>
        </w:rPr>
        <w:t>,</w:t>
      </w:r>
      <w:r w:rsidRPr="00FC2145">
        <w:rPr>
          <w:rFonts w:hint="cs"/>
          <w:noProof/>
          <w:rtl/>
        </w:rPr>
        <w:t>221</w:t>
      </w:r>
      <w:r w:rsidRPr="00FC2145">
        <w:rPr>
          <w:noProof/>
        </w:rPr>
        <w:t xml:space="preserve"> contracts;</w:t>
      </w:r>
      <w:r w:rsidRPr="00FC2145">
        <w:rPr>
          <w:rFonts w:hint="cs"/>
          <w:noProof/>
          <w:rtl/>
        </w:rPr>
        <w:t xml:space="preserve"> </w:t>
      </w:r>
      <w:r w:rsidRPr="00FC2145">
        <w:rPr>
          <w:noProof/>
        </w:rPr>
        <w:t xml:space="preserve">comprising </w:t>
      </w:r>
      <w:r w:rsidRPr="00FC2145">
        <w:rPr>
          <w:rFonts w:hint="cs"/>
          <w:noProof/>
          <w:rtl/>
        </w:rPr>
        <w:t>20</w:t>
      </w:r>
      <w:r w:rsidRPr="00FC2145">
        <w:rPr>
          <w:noProof/>
        </w:rPr>
        <w:t>,</w:t>
      </w:r>
      <w:r w:rsidRPr="00FC2145">
        <w:rPr>
          <w:rFonts w:hint="cs"/>
          <w:noProof/>
          <w:rtl/>
        </w:rPr>
        <w:t>493</w:t>
      </w:r>
      <w:r w:rsidRPr="00FC2145">
        <w:rPr>
          <w:noProof/>
        </w:rPr>
        <w:t xml:space="preserve"> contracts in the West Bank and </w:t>
      </w:r>
      <w:r w:rsidRPr="00FC2145">
        <w:rPr>
          <w:rFonts w:hint="cs"/>
          <w:noProof/>
          <w:rtl/>
        </w:rPr>
        <w:t>20</w:t>
      </w:r>
      <w:r w:rsidRPr="00FC2145">
        <w:rPr>
          <w:noProof/>
        </w:rPr>
        <w:t>,</w:t>
      </w:r>
      <w:r w:rsidRPr="00FC2145">
        <w:rPr>
          <w:rFonts w:hint="cs"/>
          <w:noProof/>
          <w:rtl/>
        </w:rPr>
        <w:t>728</w:t>
      </w:r>
      <w:r w:rsidRPr="00FC2145">
        <w:rPr>
          <w:noProof/>
        </w:rPr>
        <w:t xml:space="preserve"> contracts in Gaza Strip.</w:t>
      </w:r>
    </w:p>
    <w:p w:rsidR="00B95F8F" w:rsidRPr="00FC2145" w:rsidRDefault="001C23EC" w:rsidP="004737FF">
      <w:pPr>
        <w:pStyle w:val="BodyText2"/>
        <w:numPr>
          <w:ilvl w:val="0"/>
          <w:numId w:val="2"/>
        </w:numPr>
        <w:overflowPunct/>
        <w:autoSpaceDE/>
        <w:autoSpaceDN/>
        <w:adjustRightInd/>
        <w:spacing w:after="120"/>
        <w:ind w:left="266" w:hanging="266"/>
        <w:textAlignment w:val="auto"/>
        <w:rPr>
          <w:noProof/>
        </w:rPr>
      </w:pPr>
      <w:r w:rsidRPr="00FC2145">
        <w:rPr>
          <w:noProof/>
        </w:rPr>
        <w:drawing>
          <wp:anchor distT="0" distB="0" distL="114300" distR="114300" simplePos="0" relativeHeight="251677696" behindDoc="0" locked="0" layoutInCell="1" allowOverlap="1" wp14:anchorId="6895A0A5" wp14:editId="4F40DB0B">
            <wp:simplePos x="0" y="0"/>
            <wp:positionH relativeFrom="column">
              <wp:posOffset>1546708</wp:posOffset>
            </wp:positionH>
            <wp:positionV relativeFrom="paragraph">
              <wp:posOffset>201930</wp:posOffset>
            </wp:positionV>
            <wp:extent cx="3117600" cy="3801600"/>
            <wp:effectExtent l="19050" t="19050" r="26035" b="27940"/>
            <wp:wrapSquare wrapText="bothSides"/>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كتاب فلسطين الاحصائي السنوي 2020 نهائي\كتاب فلسطين الاحصائي السنوي 2020-PHCD\خرائط\Marriage_2020_En.png"/>
                    <pic:cNvPicPr>
                      <a:picLocks noChangeAspect="1" noChangeArrowheads="1"/>
                    </pic:cNvPicPr>
                  </pic:nvPicPr>
                  <pic:blipFill rotWithShape="1">
                    <a:blip r:embed="rId9">
                      <a:extLst>
                        <a:ext uri="{28A0092B-C50C-407E-A947-70E740481C1C}">
                          <a14:useLocalDpi xmlns:a14="http://schemas.microsoft.com/office/drawing/2010/main" val="0"/>
                        </a:ext>
                      </a:extLst>
                    </a:blip>
                    <a:srcRect l="5716" t="13857" r="6109" b="13775"/>
                    <a:stretch/>
                  </pic:blipFill>
                  <pic:spPr bwMode="auto">
                    <a:xfrm>
                      <a:off x="0" y="0"/>
                      <a:ext cx="3117600" cy="38016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737FF">
        <w:rPr>
          <w:noProof/>
        </w:rPr>
        <w:t>Gaza</w:t>
      </w:r>
      <w:r w:rsidR="00B95F8F" w:rsidRPr="00FC2145">
        <w:rPr>
          <w:noProof/>
        </w:rPr>
        <w:t xml:space="preserve"> governorate recorded the highest number of marriages in Palestine with </w:t>
      </w:r>
      <w:r w:rsidR="004737FF">
        <w:rPr>
          <w:rFonts w:hint="cs"/>
          <w:noProof/>
          <w:rtl/>
        </w:rPr>
        <w:t>7</w:t>
      </w:r>
      <w:r w:rsidR="00B95F8F" w:rsidRPr="00FC2145">
        <w:rPr>
          <w:noProof/>
        </w:rPr>
        <w:t>,</w:t>
      </w:r>
      <w:r w:rsidR="004737FF">
        <w:rPr>
          <w:rFonts w:hint="cs"/>
          <w:noProof/>
          <w:rtl/>
        </w:rPr>
        <w:t>038</w:t>
      </w:r>
      <w:r w:rsidR="00B95F8F" w:rsidRPr="00FC2145">
        <w:rPr>
          <w:noProof/>
        </w:rPr>
        <w:t xml:space="preserve"> contracts while Jericho</w:t>
      </w:r>
      <w:r w:rsidR="00B95F8F" w:rsidRPr="00FC2145">
        <w:rPr>
          <w:noProof/>
          <w:rtl/>
        </w:rPr>
        <w:t xml:space="preserve"> &amp; </w:t>
      </w:r>
      <w:r w:rsidR="00B95F8F" w:rsidRPr="00FC2145">
        <w:rPr>
          <w:noProof/>
        </w:rPr>
        <w:t xml:space="preserve">Al Aghwar governorate recorded the lowest number of marriages with </w:t>
      </w:r>
      <w:r w:rsidR="00B95F8F" w:rsidRPr="00FC2145">
        <w:rPr>
          <w:rFonts w:hint="cs"/>
          <w:noProof/>
          <w:rtl/>
        </w:rPr>
        <w:t>364</w:t>
      </w:r>
      <w:r w:rsidR="00B95F8F" w:rsidRPr="00FC2145">
        <w:rPr>
          <w:noProof/>
        </w:rPr>
        <w:t xml:space="preserve"> contracts.</w:t>
      </w:r>
    </w:p>
    <w:p w:rsidR="00B95F8F" w:rsidRPr="00FC2145" w:rsidRDefault="00B95F8F" w:rsidP="00B95F8F">
      <w:pPr>
        <w:pStyle w:val="BodyText2"/>
        <w:numPr>
          <w:ilvl w:val="0"/>
          <w:numId w:val="2"/>
        </w:numPr>
        <w:overflowPunct/>
        <w:autoSpaceDE/>
        <w:autoSpaceDN/>
        <w:adjustRightInd/>
        <w:spacing w:after="120"/>
        <w:ind w:left="266" w:hanging="266"/>
        <w:textAlignment w:val="auto"/>
        <w:rPr>
          <w:noProof/>
        </w:rPr>
      </w:pPr>
      <w:r w:rsidRPr="00FC2145">
        <w:rPr>
          <w:noProof/>
        </w:rPr>
        <w:t xml:space="preserve">The number of registered divorces at Sharia courts in Palestine in </w:t>
      </w:r>
      <w:r w:rsidRPr="00FC2145">
        <w:rPr>
          <w:rFonts w:hint="cs"/>
          <w:noProof/>
          <w:rtl/>
        </w:rPr>
        <w:t>2020</w:t>
      </w:r>
      <w:r w:rsidRPr="00FC2145">
        <w:rPr>
          <w:noProof/>
        </w:rPr>
        <w:t xml:space="preserve"> was 8,</w:t>
      </w:r>
      <w:r w:rsidRPr="00FC2145">
        <w:rPr>
          <w:rFonts w:hint="cs"/>
          <w:noProof/>
          <w:rtl/>
        </w:rPr>
        <w:t>006</w:t>
      </w:r>
      <w:r w:rsidRPr="00FC2145">
        <w:rPr>
          <w:noProof/>
        </w:rPr>
        <w:t xml:space="preserve"> cases; </w:t>
      </w:r>
      <w:r w:rsidRPr="00FC2145">
        <w:rPr>
          <w:rFonts w:hint="cs"/>
          <w:noProof/>
          <w:rtl/>
        </w:rPr>
        <w:t>4</w:t>
      </w:r>
      <w:r w:rsidRPr="00FC2145">
        <w:rPr>
          <w:noProof/>
        </w:rPr>
        <w:t>,</w:t>
      </w:r>
      <w:r w:rsidRPr="00FC2145">
        <w:rPr>
          <w:rFonts w:hint="cs"/>
          <w:noProof/>
          <w:rtl/>
        </w:rPr>
        <w:t>558</w:t>
      </w:r>
      <w:r w:rsidRPr="00FC2145">
        <w:rPr>
          <w:noProof/>
        </w:rPr>
        <w:t xml:space="preserve"> cases in the West Bank and 3,</w:t>
      </w:r>
      <w:r w:rsidRPr="00FC2145">
        <w:rPr>
          <w:rFonts w:hint="cs"/>
          <w:noProof/>
          <w:rtl/>
        </w:rPr>
        <w:t>448</w:t>
      </w:r>
      <w:r w:rsidRPr="00FC2145">
        <w:rPr>
          <w:noProof/>
        </w:rPr>
        <w:t xml:space="preserve"> cases in Gaza Strip. Gaza governorate recorded the highest number of divorce cases in Palestine with 1,</w:t>
      </w:r>
      <w:r w:rsidRPr="00FC2145">
        <w:rPr>
          <w:rFonts w:hint="cs"/>
          <w:noProof/>
          <w:rtl/>
        </w:rPr>
        <w:t>199</w:t>
      </w:r>
      <w:r w:rsidRPr="00FC2145">
        <w:rPr>
          <w:noProof/>
        </w:rPr>
        <w:t xml:space="preserve"> while Jericho</w:t>
      </w:r>
      <w:r w:rsidRPr="00FC2145">
        <w:rPr>
          <w:noProof/>
          <w:rtl/>
        </w:rPr>
        <w:t xml:space="preserve"> &amp; </w:t>
      </w:r>
      <w:r w:rsidRPr="00FC2145">
        <w:rPr>
          <w:noProof/>
        </w:rPr>
        <w:t xml:space="preserve">Al Aghwar governorate recorded the lowest number with </w:t>
      </w:r>
      <w:r w:rsidRPr="00FC2145">
        <w:rPr>
          <w:rFonts w:hint="cs"/>
          <w:noProof/>
          <w:rtl/>
        </w:rPr>
        <w:t>93</w:t>
      </w:r>
      <w:r w:rsidRPr="00FC2145">
        <w:rPr>
          <w:noProof/>
        </w:rPr>
        <w:t xml:space="preserve"> cases.</w:t>
      </w:r>
    </w:p>
    <w:p w:rsidR="00527986" w:rsidRPr="00FC2145" w:rsidRDefault="00527986" w:rsidP="004737FF">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 xml:space="preserve">For more details </w:t>
      </w:r>
      <w:r w:rsidR="00FA6A6A" w:rsidRPr="00FC2145">
        <w:rPr>
          <w:rFonts w:cs="Times New Roman"/>
          <w:b/>
          <w:bCs/>
          <w:i/>
          <w:iCs/>
          <w:sz w:val="18"/>
          <w:szCs w:val="18"/>
          <w:u w:val="single"/>
        </w:rPr>
        <w:t xml:space="preserve">on </w:t>
      </w:r>
      <w:r w:rsidRPr="00FC2145">
        <w:rPr>
          <w:rFonts w:cs="Times New Roman"/>
          <w:b/>
          <w:bCs/>
          <w:i/>
          <w:iCs/>
          <w:sz w:val="18"/>
          <w:szCs w:val="18"/>
          <w:u w:val="single"/>
        </w:rPr>
        <w:t>vital statistics, see the tables in chapter 1.</w:t>
      </w:r>
      <w:r w:rsidR="004737FF">
        <w:rPr>
          <w:rFonts w:cs="Times New Roman" w:hint="cs"/>
          <w:b/>
          <w:bCs/>
          <w:i/>
          <w:iCs/>
          <w:sz w:val="18"/>
          <w:szCs w:val="18"/>
          <w:u w:val="single"/>
          <w:rtl/>
        </w:rPr>
        <w:t>2</w:t>
      </w:r>
      <w:r w:rsidRPr="00FC2145">
        <w:rPr>
          <w:rFonts w:cs="Times New Roman"/>
          <w:b/>
          <w:bCs/>
          <w:i/>
          <w:iCs/>
          <w:sz w:val="18"/>
          <w:szCs w:val="18"/>
          <w:u w:val="single"/>
        </w:rPr>
        <w:t xml:space="preserve"> of the Arabic section, pages </w:t>
      </w:r>
      <w:r w:rsidR="004737FF">
        <w:rPr>
          <w:rFonts w:cs="Times New Roman"/>
          <w:b/>
          <w:bCs/>
          <w:i/>
          <w:iCs/>
          <w:sz w:val="18"/>
          <w:szCs w:val="18"/>
          <w:u w:val="single"/>
        </w:rPr>
        <w:t>27</w:t>
      </w:r>
      <w:r w:rsidRPr="00FC2145">
        <w:rPr>
          <w:rFonts w:cs="Times New Roman"/>
          <w:b/>
          <w:bCs/>
          <w:i/>
          <w:iCs/>
          <w:sz w:val="18"/>
          <w:szCs w:val="18"/>
          <w:u w:val="single"/>
        </w:rPr>
        <w:t>-</w:t>
      </w:r>
      <w:r w:rsidR="004737FF">
        <w:rPr>
          <w:rFonts w:cs="Times New Roman"/>
          <w:b/>
          <w:bCs/>
          <w:i/>
          <w:iCs/>
          <w:sz w:val="18"/>
          <w:szCs w:val="18"/>
          <w:u w:val="single"/>
        </w:rPr>
        <w:t>46</w:t>
      </w:r>
      <w:r w:rsidRPr="00FC2145">
        <w:rPr>
          <w:rFonts w:cs="Times New Roman"/>
          <w:b/>
          <w:bCs/>
          <w:i/>
          <w:iCs/>
          <w:sz w:val="18"/>
          <w:szCs w:val="18"/>
          <w:u w:val="single"/>
        </w:rPr>
        <w:t>.</w:t>
      </w:r>
    </w:p>
    <w:p w:rsidR="00F64A1E" w:rsidRPr="00FC2145" w:rsidRDefault="00F64A1E" w:rsidP="00F64A1E">
      <w:pPr>
        <w:pStyle w:val="ListParagraph"/>
        <w:bidi w:val="0"/>
        <w:ind w:left="0"/>
        <w:jc w:val="lowKashida"/>
        <w:rPr>
          <w:rFonts w:cs="Times New Roman"/>
          <w:b/>
          <w:bCs/>
          <w:i/>
          <w:iCs/>
          <w:sz w:val="18"/>
          <w:szCs w:val="18"/>
          <w:u w:val="single"/>
        </w:rPr>
      </w:pPr>
    </w:p>
    <w:p w:rsidR="001A32EE" w:rsidRPr="00FC2145" w:rsidRDefault="001A32EE" w:rsidP="00F64A1E">
      <w:pPr>
        <w:pStyle w:val="Title"/>
        <w:numPr>
          <w:ilvl w:val="0"/>
          <w:numId w:val="19"/>
        </w:numPr>
        <w:bidi w:val="0"/>
        <w:ind w:left="252" w:hanging="252"/>
        <w:jc w:val="left"/>
        <w:rPr>
          <w:rFonts w:cs="Traditional Arabic"/>
          <w:sz w:val="20"/>
          <w:szCs w:val="20"/>
        </w:rPr>
      </w:pPr>
      <w:r w:rsidRPr="00FC2145">
        <w:rPr>
          <w:rFonts w:cs="Traditional Arabic"/>
          <w:sz w:val="20"/>
          <w:szCs w:val="20"/>
        </w:rPr>
        <w:t xml:space="preserve">Health                                </w:t>
      </w:r>
    </w:p>
    <w:p w:rsidR="008F1A0B" w:rsidRPr="00FC2145" w:rsidRDefault="002C1514" w:rsidP="009077C7">
      <w:pPr>
        <w:pStyle w:val="BodyText2"/>
        <w:numPr>
          <w:ilvl w:val="0"/>
          <w:numId w:val="2"/>
        </w:numPr>
        <w:overflowPunct/>
        <w:autoSpaceDE/>
        <w:autoSpaceDN/>
        <w:adjustRightInd/>
        <w:spacing w:after="120"/>
        <w:ind w:left="266" w:hanging="266"/>
        <w:textAlignment w:val="auto"/>
        <w:rPr>
          <w:noProof/>
        </w:rPr>
      </w:pPr>
      <w:r w:rsidRPr="00FC2145">
        <w:rPr>
          <w:noProof/>
        </w:rPr>
        <w:t xml:space="preserve">In </w:t>
      </w:r>
      <w:r w:rsidR="009077C7" w:rsidRPr="00FC2145">
        <w:rPr>
          <w:noProof/>
        </w:rPr>
        <w:t>2020</w:t>
      </w:r>
      <w:r w:rsidRPr="00FC2145">
        <w:rPr>
          <w:noProof/>
        </w:rPr>
        <w:t xml:space="preserve">, there were </w:t>
      </w:r>
      <w:r w:rsidR="00A6702B" w:rsidRPr="00FC2145">
        <w:rPr>
          <w:noProof/>
        </w:rPr>
        <w:t>87</w:t>
      </w:r>
      <w:r w:rsidRPr="00FC2145">
        <w:rPr>
          <w:noProof/>
        </w:rPr>
        <w:t xml:space="preserve"> governmental and non-governmental hospitals in Palestine with a capacity of 6,</w:t>
      </w:r>
      <w:r w:rsidR="00A6702B" w:rsidRPr="00FC2145">
        <w:rPr>
          <w:noProof/>
        </w:rPr>
        <w:t>552</w:t>
      </w:r>
      <w:r w:rsidRPr="00FC2145">
        <w:rPr>
          <w:noProof/>
        </w:rPr>
        <w:t xml:space="preserve"> beds.</w:t>
      </w:r>
    </w:p>
    <w:p w:rsidR="008F1A0B" w:rsidRPr="00FC2145" w:rsidRDefault="000D382D" w:rsidP="006D2186">
      <w:pPr>
        <w:pStyle w:val="BodyText2"/>
        <w:numPr>
          <w:ilvl w:val="0"/>
          <w:numId w:val="2"/>
        </w:numPr>
        <w:overflowPunct/>
        <w:autoSpaceDE/>
        <w:autoSpaceDN/>
        <w:adjustRightInd/>
        <w:spacing w:after="120"/>
        <w:ind w:left="266" w:hanging="266"/>
        <w:textAlignment w:val="auto"/>
        <w:rPr>
          <w:noProof/>
        </w:rPr>
      </w:pPr>
      <w:r w:rsidRPr="00FC2145">
        <w:rPr>
          <w:noProof/>
        </w:rPr>
        <w:t xml:space="preserve">The percentage of </w:t>
      </w:r>
      <w:r w:rsidR="008F1A0B" w:rsidRPr="00FC2145">
        <w:rPr>
          <w:noProof/>
        </w:rPr>
        <w:t xml:space="preserve">Malnutrition among children under five years indicators in Palestine during the period 2019-2020 </w:t>
      </w:r>
      <w:r w:rsidR="006D2186" w:rsidRPr="00FC2145">
        <w:rPr>
          <w:noProof/>
        </w:rPr>
        <w:t>as follows</w:t>
      </w:r>
      <w:r w:rsidR="008F1A0B" w:rsidRPr="00FC2145">
        <w:rPr>
          <w:noProof/>
        </w:rPr>
        <w:t>: (8.7% stunting, 2.1% underweight, 1.3% wasting, 8.6% overweight.</w:t>
      </w:r>
    </w:p>
    <w:p w:rsidR="0088365A" w:rsidRPr="00FC2145" w:rsidRDefault="00C0181D" w:rsidP="00C0181D">
      <w:pPr>
        <w:pStyle w:val="BodyText2"/>
        <w:numPr>
          <w:ilvl w:val="0"/>
          <w:numId w:val="2"/>
        </w:numPr>
        <w:overflowPunct/>
        <w:autoSpaceDE/>
        <w:autoSpaceDN/>
        <w:adjustRightInd/>
        <w:textAlignment w:val="auto"/>
        <w:rPr>
          <w:noProof/>
        </w:rPr>
      </w:pPr>
      <w:r w:rsidRPr="00FC2145">
        <w:rPr>
          <w:noProof/>
        </w:rPr>
        <w:t xml:space="preserve">In </w:t>
      </w:r>
      <w:r w:rsidR="0088365A" w:rsidRPr="00FC2145">
        <w:rPr>
          <w:noProof/>
        </w:rPr>
        <w:t xml:space="preserve">2019, Infant Mortality Rate </w:t>
      </w:r>
      <w:r w:rsidR="000D382D" w:rsidRPr="00FC2145">
        <w:rPr>
          <w:noProof/>
        </w:rPr>
        <w:t xml:space="preserve">reached </w:t>
      </w:r>
      <w:r w:rsidR="0088365A" w:rsidRPr="00FC2145">
        <w:rPr>
          <w:noProof/>
        </w:rPr>
        <w:t>12.1 deaths per 1000 live births</w:t>
      </w:r>
      <w:r w:rsidR="000D382D" w:rsidRPr="00FC2145">
        <w:rPr>
          <w:noProof/>
        </w:rPr>
        <w:t xml:space="preserve"> in Palestine, whil</w:t>
      </w:r>
      <w:r w:rsidR="007F0A14" w:rsidRPr="00FC2145">
        <w:rPr>
          <w:noProof/>
        </w:rPr>
        <w:t>e</w:t>
      </w:r>
      <w:r w:rsidR="0088365A" w:rsidRPr="00FC2145">
        <w:rPr>
          <w:noProof/>
        </w:rPr>
        <w:t xml:space="preserve">  </w:t>
      </w:r>
      <w:r w:rsidR="007F0A14" w:rsidRPr="00FC2145">
        <w:rPr>
          <w:noProof/>
        </w:rPr>
        <w:t>u</w:t>
      </w:r>
      <w:r w:rsidR="0088365A" w:rsidRPr="00FC2145">
        <w:rPr>
          <w:noProof/>
        </w:rPr>
        <w:t xml:space="preserve">nder 5 years </w:t>
      </w:r>
      <w:r w:rsidR="007F0A14" w:rsidRPr="00FC2145">
        <w:rPr>
          <w:noProof/>
        </w:rPr>
        <w:t>m</w:t>
      </w:r>
      <w:r w:rsidR="0088365A" w:rsidRPr="00FC2145">
        <w:rPr>
          <w:noProof/>
        </w:rPr>
        <w:t xml:space="preserve">ortality </w:t>
      </w:r>
      <w:r w:rsidR="007F0A14" w:rsidRPr="00FC2145">
        <w:rPr>
          <w:noProof/>
        </w:rPr>
        <w:t>r</w:t>
      </w:r>
      <w:r w:rsidR="0088365A" w:rsidRPr="00FC2145">
        <w:rPr>
          <w:noProof/>
        </w:rPr>
        <w:t xml:space="preserve">ate </w:t>
      </w:r>
      <w:r w:rsidR="000D382D" w:rsidRPr="00FC2145">
        <w:rPr>
          <w:noProof/>
        </w:rPr>
        <w:t xml:space="preserve">reached </w:t>
      </w:r>
      <w:r w:rsidR="0088365A" w:rsidRPr="00FC2145">
        <w:rPr>
          <w:noProof/>
        </w:rPr>
        <w:t>14.2 deaths per 1000 live births.</w:t>
      </w:r>
    </w:p>
    <w:p w:rsidR="00841227" w:rsidRPr="00FC2145" w:rsidRDefault="00841227" w:rsidP="0094318C">
      <w:pPr>
        <w:pStyle w:val="BodyText2"/>
        <w:overflowPunct/>
        <w:autoSpaceDE/>
        <w:autoSpaceDN/>
        <w:adjustRightInd/>
        <w:spacing w:after="120"/>
        <w:textAlignment w:val="auto"/>
        <w:rPr>
          <w:rFonts w:ascii="Arial" w:hAnsi="Arial" w:cs="Arial"/>
          <w:b/>
          <w:bCs/>
          <w:noProof/>
          <w:sz w:val="18"/>
          <w:szCs w:val="18"/>
        </w:rPr>
      </w:pPr>
    </w:p>
    <w:p w:rsidR="00D27191" w:rsidRPr="00E36489" w:rsidRDefault="00D27191" w:rsidP="00E36489">
      <w:pPr>
        <w:overflowPunct/>
        <w:autoSpaceDE/>
        <w:autoSpaceDN/>
        <w:adjustRightInd/>
        <w:textAlignment w:val="auto"/>
        <w:rPr>
          <w:rFonts w:ascii="Arial" w:hAnsi="Arial" w:cs="Arial"/>
          <w:b/>
          <w:bCs/>
          <w:noProof/>
          <w:sz w:val="18"/>
          <w:szCs w:val="18"/>
        </w:rPr>
      </w:pPr>
      <w:r w:rsidRPr="00FC2145">
        <w:rPr>
          <w:b/>
          <w:bCs/>
          <w:i/>
          <w:iCs/>
          <w:sz w:val="18"/>
          <w:szCs w:val="18"/>
          <w:u w:val="single"/>
        </w:rPr>
        <w:t>For more details on health, see the tables in chapter 1.</w:t>
      </w:r>
      <w:r w:rsidR="00C561F1">
        <w:rPr>
          <w:b/>
          <w:bCs/>
          <w:i/>
          <w:iCs/>
          <w:sz w:val="18"/>
          <w:szCs w:val="18"/>
          <w:u w:val="single"/>
        </w:rPr>
        <w:t>3</w:t>
      </w:r>
      <w:r w:rsidRPr="00FC2145">
        <w:rPr>
          <w:b/>
          <w:bCs/>
          <w:i/>
          <w:iCs/>
          <w:sz w:val="18"/>
          <w:szCs w:val="18"/>
          <w:u w:val="single"/>
        </w:rPr>
        <w:t xml:space="preserve"> of the Arabic section, pages</w:t>
      </w:r>
      <w:r w:rsidRPr="00FC2145">
        <w:rPr>
          <w:b/>
          <w:bCs/>
          <w:i/>
          <w:iCs/>
          <w:sz w:val="18"/>
          <w:szCs w:val="18"/>
          <w:u w:val="single"/>
          <w:rtl/>
        </w:rPr>
        <w:t xml:space="preserve"> </w:t>
      </w:r>
      <w:r w:rsidR="00C561F1">
        <w:rPr>
          <w:b/>
          <w:bCs/>
          <w:i/>
          <w:iCs/>
          <w:sz w:val="18"/>
          <w:szCs w:val="18"/>
          <w:u w:val="single"/>
        </w:rPr>
        <w:t>47</w:t>
      </w:r>
      <w:r w:rsidRPr="00FC2145">
        <w:rPr>
          <w:b/>
          <w:bCs/>
          <w:i/>
          <w:iCs/>
          <w:sz w:val="18"/>
          <w:szCs w:val="18"/>
          <w:u w:val="single"/>
        </w:rPr>
        <w:t>-</w:t>
      </w:r>
      <w:r w:rsidR="00C561F1">
        <w:rPr>
          <w:b/>
          <w:bCs/>
          <w:i/>
          <w:iCs/>
          <w:sz w:val="18"/>
          <w:szCs w:val="18"/>
          <w:u w:val="single"/>
        </w:rPr>
        <w:t>50</w:t>
      </w:r>
      <w:r w:rsidRPr="00FC2145">
        <w:rPr>
          <w:b/>
          <w:bCs/>
          <w:i/>
          <w:iCs/>
          <w:sz w:val="18"/>
          <w:szCs w:val="18"/>
          <w:u w:val="single"/>
        </w:rPr>
        <w:t>.</w:t>
      </w:r>
    </w:p>
    <w:p w:rsidR="00D27191" w:rsidRPr="00FC2145" w:rsidRDefault="00D27191" w:rsidP="00D27191">
      <w:pPr>
        <w:pStyle w:val="ListParagraph"/>
        <w:bidi w:val="0"/>
        <w:ind w:left="0"/>
        <w:jc w:val="lowKashida"/>
        <w:rPr>
          <w:rFonts w:cs="Times New Roman"/>
          <w:i/>
          <w:iCs/>
          <w:sz w:val="20"/>
          <w:u w:val="single"/>
        </w:rPr>
      </w:pPr>
    </w:p>
    <w:p w:rsidR="00E36489" w:rsidRDefault="00E36489" w:rsidP="00E36489">
      <w:pPr>
        <w:pStyle w:val="Title"/>
        <w:bidi w:val="0"/>
        <w:jc w:val="left"/>
        <w:rPr>
          <w:rFonts w:cs="Traditional Arabic"/>
          <w:sz w:val="20"/>
          <w:szCs w:val="20"/>
        </w:rPr>
      </w:pPr>
    </w:p>
    <w:p w:rsidR="00084AEE" w:rsidRPr="00FC2145" w:rsidRDefault="00084AEE" w:rsidP="00E36489">
      <w:pPr>
        <w:pStyle w:val="Title"/>
        <w:numPr>
          <w:ilvl w:val="0"/>
          <w:numId w:val="19"/>
        </w:numPr>
        <w:bidi w:val="0"/>
        <w:jc w:val="left"/>
        <w:rPr>
          <w:rFonts w:cs="Traditional Arabic"/>
          <w:sz w:val="20"/>
          <w:szCs w:val="20"/>
        </w:rPr>
      </w:pPr>
      <w:r w:rsidRPr="00FC2145">
        <w:rPr>
          <w:rFonts w:cs="Traditional Arabic"/>
          <w:sz w:val="20"/>
          <w:szCs w:val="20"/>
        </w:rPr>
        <w:lastRenderedPageBreak/>
        <w:t>Housing and Housing Conditions</w:t>
      </w:r>
    </w:p>
    <w:p w:rsidR="00084AEE" w:rsidRPr="00FC2145" w:rsidRDefault="00084AEE" w:rsidP="00C41B5B">
      <w:pPr>
        <w:pStyle w:val="BodyText2"/>
        <w:numPr>
          <w:ilvl w:val="0"/>
          <w:numId w:val="2"/>
        </w:numPr>
        <w:overflowPunct/>
        <w:autoSpaceDE/>
        <w:autoSpaceDN/>
        <w:adjustRightInd/>
        <w:spacing w:after="120"/>
        <w:ind w:left="266" w:hanging="266"/>
        <w:textAlignment w:val="auto"/>
        <w:rPr>
          <w:noProof/>
        </w:rPr>
      </w:pPr>
      <w:r w:rsidRPr="00FC2145">
        <w:rPr>
          <w:noProof/>
        </w:rPr>
        <w:t xml:space="preserve">In </w:t>
      </w:r>
      <w:r w:rsidR="007C76C5" w:rsidRPr="00FC2145">
        <w:rPr>
          <w:noProof/>
        </w:rPr>
        <w:t>2019</w:t>
      </w:r>
      <w:r w:rsidRPr="00FC2145">
        <w:rPr>
          <w:noProof/>
        </w:rPr>
        <w:t xml:space="preserve">, </w:t>
      </w:r>
      <w:r w:rsidR="00D86CF8" w:rsidRPr="00FC2145">
        <w:rPr>
          <w:noProof/>
        </w:rPr>
        <w:t xml:space="preserve">the </w:t>
      </w:r>
      <w:r w:rsidRPr="00FC2145">
        <w:rPr>
          <w:noProof/>
        </w:rPr>
        <w:t xml:space="preserve">average housing density in Palestine was </w:t>
      </w:r>
      <w:r w:rsidRPr="00FC2145">
        <w:rPr>
          <w:rFonts w:hint="cs"/>
          <w:noProof/>
          <w:rtl/>
        </w:rPr>
        <w:t>1.4</w:t>
      </w:r>
      <w:r w:rsidRPr="00FC2145">
        <w:rPr>
          <w:noProof/>
        </w:rPr>
        <w:t xml:space="preserve"> persons per room. The average for the West Bank was 1.</w:t>
      </w:r>
      <w:r w:rsidRPr="00FC2145">
        <w:rPr>
          <w:rFonts w:hint="cs"/>
          <w:noProof/>
          <w:rtl/>
        </w:rPr>
        <w:t>3</w:t>
      </w:r>
      <w:r w:rsidRPr="00FC2145">
        <w:rPr>
          <w:noProof/>
        </w:rPr>
        <w:t xml:space="preserve"> </w:t>
      </w:r>
      <w:r w:rsidR="00C41B5B" w:rsidRPr="00FC2145">
        <w:rPr>
          <w:noProof/>
        </w:rPr>
        <w:t xml:space="preserve">persons per room </w:t>
      </w:r>
      <w:r w:rsidRPr="00FC2145">
        <w:rPr>
          <w:noProof/>
        </w:rPr>
        <w:t xml:space="preserve">compared with </w:t>
      </w:r>
      <w:r w:rsidRPr="00FC2145">
        <w:rPr>
          <w:rFonts w:hint="cs"/>
          <w:noProof/>
          <w:rtl/>
        </w:rPr>
        <w:t>1.6</w:t>
      </w:r>
      <w:r w:rsidRPr="00FC2145">
        <w:rPr>
          <w:noProof/>
        </w:rPr>
        <w:t xml:space="preserve"> persons per room in Gaza Strip</w:t>
      </w:r>
      <w:r w:rsidR="00C41B5B" w:rsidRPr="00FC2145">
        <w:t>.</w:t>
      </w:r>
    </w:p>
    <w:p w:rsidR="00084AEE" w:rsidRPr="00FC2145" w:rsidRDefault="0015308F" w:rsidP="00C41B5B">
      <w:pPr>
        <w:pStyle w:val="BodyText2"/>
        <w:numPr>
          <w:ilvl w:val="0"/>
          <w:numId w:val="2"/>
        </w:numPr>
        <w:overflowPunct/>
        <w:autoSpaceDE/>
        <w:autoSpaceDN/>
        <w:adjustRightInd/>
        <w:spacing w:after="120"/>
        <w:ind w:left="266" w:hanging="266"/>
        <w:textAlignment w:val="auto"/>
        <w:rPr>
          <w:noProof/>
        </w:rPr>
      </w:pPr>
      <w:r w:rsidRPr="00FC2145">
        <w:rPr>
          <w:noProof/>
        </w:rPr>
        <w:t xml:space="preserve">In </w:t>
      </w:r>
      <w:r w:rsidR="005F02E8" w:rsidRPr="00FC2145">
        <w:rPr>
          <w:noProof/>
        </w:rPr>
        <w:t>2019</w:t>
      </w:r>
      <w:r w:rsidRPr="00FC2145">
        <w:rPr>
          <w:noProof/>
        </w:rPr>
        <w:t>,</w:t>
      </w:r>
      <w:r w:rsidR="00084AEE" w:rsidRPr="00FC2145">
        <w:rPr>
          <w:noProof/>
        </w:rPr>
        <w:t xml:space="preserve"> 1.</w:t>
      </w:r>
      <w:r w:rsidR="00C805EB" w:rsidRPr="00FC2145">
        <w:rPr>
          <w:noProof/>
        </w:rPr>
        <w:t>0</w:t>
      </w:r>
      <w:r w:rsidR="00084AEE" w:rsidRPr="00FC2145">
        <w:rPr>
          <w:noProof/>
        </w:rPr>
        <w:t xml:space="preserve">% of households in Palestine lived in a villa, </w:t>
      </w:r>
      <w:r w:rsidR="00C805EB" w:rsidRPr="00FC2145">
        <w:rPr>
          <w:noProof/>
        </w:rPr>
        <w:t>38.8</w:t>
      </w:r>
      <w:r w:rsidR="00084AEE" w:rsidRPr="00FC2145">
        <w:rPr>
          <w:noProof/>
        </w:rPr>
        <w:t xml:space="preserve">% lived in a house, and </w:t>
      </w:r>
      <w:r w:rsidR="00C805EB" w:rsidRPr="00FC2145">
        <w:rPr>
          <w:noProof/>
        </w:rPr>
        <w:t>59.2</w:t>
      </w:r>
      <w:r w:rsidR="00084AEE" w:rsidRPr="00FC2145">
        <w:rPr>
          <w:noProof/>
        </w:rPr>
        <w:t>% lived in an apartment.</w:t>
      </w:r>
    </w:p>
    <w:p w:rsidR="00B01406" w:rsidRPr="00FC2145" w:rsidRDefault="00B01406" w:rsidP="00B01406">
      <w:pPr>
        <w:pStyle w:val="ListParagraph"/>
        <w:bidi w:val="0"/>
        <w:ind w:left="0"/>
        <w:jc w:val="lowKashida"/>
        <w:rPr>
          <w:rFonts w:cs="Times New Roman"/>
          <w:b/>
          <w:bCs/>
          <w:i/>
          <w:iCs/>
          <w:sz w:val="18"/>
          <w:szCs w:val="18"/>
          <w:u w:val="single"/>
        </w:rPr>
      </w:pPr>
    </w:p>
    <w:p w:rsidR="00084AEE" w:rsidRPr="00FC2145" w:rsidRDefault="001C23EC" w:rsidP="00C561F1">
      <w:pPr>
        <w:pStyle w:val="ListParagraph"/>
        <w:bidi w:val="0"/>
        <w:ind w:left="0"/>
        <w:jc w:val="lowKashida"/>
        <w:rPr>
          <w:rFonts w:cs="Times New Roman"/>
          <w:b/>
          <w:bCs/>
          <w:i/>
          <w:iCs/>
          <w:sz w:val="18"/>
          <w:szCs w:val="18"/>
          <w:u w:val="single"/>
        </w:rPr>
      </w:pPr>
      <w:r w:rsidRPr="00FC2145">
        <w:drawing>
          <wp:anchor distT="0" distB="0" distL="114300" distR="114300" simplePos="0" relativeHeight="251658240" behindDoc="0" locked="0" layoutInCell="1" allowOverlap="1" wp14:anchorId="07592A34" wp14:editId="02B4CC6F">
            <wp:simplePos x="0" y="0"/>
            <wp:positionH relativeFrom="column">
              <wp:posOffset>1759559</wp:posOffset>
            </wp:positionH>
            <wp:positionV relativeFrom="paragraph">
              <wp:posOffset>212649</wp:posOffset>
            </wp:positionV>
            <wp:extent cx="2916000" cy="3600000"/>
            <wp:effectExtent l="19050" t="19050" r="17780" b="19685"/>
            <wp:wrapSquare wrapText="bothSides"/>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G:\كتاب فلسطين الاحصائي السنوي 2020 نهائي\كتاب فلسطين الاحصائي السنوي 2020-PHCD\خرائط\Unemployment_2020_En.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7474" t="12802" r="6587" b="10381"/>
                    <a:stretch/>
                  </pic:blipFill>
                  <pic:spPr bwMode="auto">
                    <a:xfrm>
                      <a:off x="0" y="0"/>
                      <a:ext cx="2916000" cy="36000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4AEE" w:rsidRPr="00FC2145">
        <w:rPr>
          <w:rFonts w:cs="Times New Roman"/>
          <w:b/>
          <w:bCs/>
          <w:i/>
          <w:iCs/>
          <w:sz w:val="18"/>
          <w:szCs w:val="18"/>
          <w:u w:val="single"/>
        </w:rPr>
        <w:t>For more details on housing and housing conditions, see the tables in chapter 1.</w:t>
      </w:r>
      <w:r w:rsidR="00C561F1">
        <w:rPr>
          <w:rFonts w:cs="Times New Roman"/>
          <w:b/>
          <w:bCs/>
          <w:i/>
          <w:iCs/>
          <w:sz w:val="18"/>
          <w:szCs w:val="18"/>
          <w:u w:val="single"/>
        </w:rPr>
        <w:t>4</w:t>
      </w:r>
      <w:r w:rsidR="00084AEE" w:rsidRPr="00FC2145">
        <w:rPr>
          <w:rFonts w:cs="Times New Roman"/>
          <w:b/>
          <w:bCs/>
          <w:i/>
          <w:iCs/>
          <w:sz w:val="18"/>
          <w:szCs w:val="18"/>
          <w:u w:val="single"/>
        </w:rPr>
        <w:t xml:space="preserve"> of the Arabic section, pages </w:t>
      </w:r>
      <w:r w:rsidR="00C561F1">
        <w:rPr>
          <w:rFonts w:cs="Times New Roman"/>
          <w:b/>
          <w:bCs/>
          <w:i/>
          <w:iCs/>
          <w:sz w:val="18"/>
          <w:szCs w:val="18"/>
          <w:u w:val="single"/>
        </w:rPr>
        <w:t>51</w:t>
      </w:r>
      <w:r w:rsidR="00084AEE" w:rsidRPr="00FC2145">
        <w:rPr>
          <w:rFonts w:cs="Times New Roman"/>
          <w:b/>
          <w:bCs/>
          <w:i/>
          <w:iCs/>
          <w:sz w:val="18"/>
          <w:szCs w:val="18"/>
          <w:u w:val="single"/>
        </w:rPr>
        <w:t>-</w:t>
      </w:r>
      <w:r w:rsidR="00C561F1">
        <w:rPr>
          <w:rFonts w:cs="Times New Roman"/>
          <w:b/>
          <w:bCs/>
          <w:i/>
          <w:iCs/>
          <w:sz w:val="18"/>
          <w:szCs w:val="18"/>
          <w:u w:val="single"/>
        </w:rPr>
        <w:t>56</w:t>
      </w:r>
      <w:r w:rsidR="00084AEE" w:rsidRPr="00FC2145">
        <w:rPr>
          <w:rFonts w:cs="Times New Roman"/>
          <w:b/>
          <w:bCs/>
          <w:i/>
          <w:iCs/>
          <w:sz w:val="18"/>
          <w:szCs w:val="18"/>
          <w:u w:val="single"/>
        </w:rPr>
        <w:t>.</w:t>
      </w:r>
    </w:p>
    <w:p w:rsidR="00456A8A" w:rsidRPr="00FC2145" w:rsidRDefault="00456A8A">
      <w:pPr>
        <w:overflowPunct/>
        <w:autoSpaceDE/>
        <w:autoSpaceDN/>
        <w:adjustRightInd/>
        <w:textAlignment w:val="auto"/>
        <w:rPr>
          <w:rFonts w:cs="Traditional Arabic"/>
          <w:b/>
          <w:bCs/>
          <w:noProof/>
        </w:rPr>
      </w:pPr>
    </w:p>
    <w:p w:rsidR="00CA6806" w:rsidRPr="00FC2145" w:rsidRDefault="00CA6806" w:rsidP="00CA6806">
      <w:pPr>
        <w:pStyle w:val="Title"/>
        <w:numPr>
          <w:ilvl w:val="0"/>
          <w:numId w:val="19"/>
        </w:numPr>
        <w:bidi w:val="0"/>
        <w:ind w:left="252" w:hanging="252"/>
        <w:jc w:val="left"/>
        <w:rPr>
          <w:rFonts w:cs="Traditional Arabic"/>
          <w:sz w:val="20"/>
          <w:szCs w:val="20"/>
        </w:rPr>
      </w:pPr>
      <w:r w:rsidRPr="00FC2145">
        <w:rPr>
          <w:rFonts w:cs="Traditional Arabic"/>
          <w:sz w:val="20"/>
          <w:szCs w:val="20"/>
        </w:rPr>
        <w:t>Labo</w:t>
      </w:r>
      <w:r w:rsidR="00575A5D" w:rsidRPr="00FC2145">
        <w:rPr>
          <w:rFonts w:cs="Traditional Arabic"/>
          <w:sz w:val="20"/>
          <w:szCs w:val="20"/>
        </w:rPr>
        <w:t>u</w:t>
      </w:r>
      <w:r w:rsidRPr="00FC2145">
        <w:rPr>
          <w:rFonts w:cs="Traditional Arabic"/>
          <w:sz w:val="20"/>
          <w:szCs w:val="20"/>
        </w:rPr>
        <w:t xml:space="preserve">r and Wages                               </w:t>
      </w:r>
    </w:p>
    <w:p w:rsidR="00E16FC2" w:rsidRPr="00FC2145" w:rsidRDefault="00E16FC2" w:rsidP="00425440">
      <w:pPr>
        <w:pStyle w:val="BodyText2"/>
        <w:numPr>
          <w:ilvl w:val="0"/>
          <w:numId w:val="2"/>
        </w:numPr>
        <w:overflowPunct/>
        <w:autoSpaceDE/>
        <w:autoSpaceDN/>
        <w:adjustRightInd/>
        <w:spacing w:after="120"/>
        <w:ind w:left="266" w:hanging="266"/>
        <w:textAlignment w:val="auto"/>
        <w:rPr>
          <w:noProof/>
        </w:rPr>
      </w:pPr>
      <w:r w:rsidRPr="00FC2145">
        <w:rPr>
          <w:noProof/>
        </w:rPr>
        <mc:AlternateContent>
          <mc:Choice Requires="wps">
            <w:drawing>
              <wp:anchor distT="0" distB="0" distL="114300" distR="114300" simplePos="0" relativeHeight="251680768" behindDoc="0" locked="0" layoutInCell="1" allowOverlap="1" wp14:anchorId="515500BE" wp14:editId="450A5A81">
                <wp:simplePos x="0" y="0"/>
                <wp:positionH relativeFrom="column">
                  <wp:posOffset>1128395</wp:posOffset>
                </wp:positionH>
                <wp:positionV relativeFrom="paragraph">
                  <wp:posOffset>728980</wp:posOffset>
                </wp:positionV>
                <wp:extent cx="135890" cy="210820"/>
                <wp:effectExtent l="635" t="1270" r="0" b="0"/>
                <wp:wrapNone/>
                <wp:docPr id="1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890" cy="2108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9986D9" id="Rectangle 8" o:spid="_x0000_s1026" style="position:absolute;left:0;text-align:left;margin-left:88.85pt;margin-top:57.4pt;width:10.7pt;height:16.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" stroked="f"/>
            </w:pict>
          </mc:Fallback>
        </mc:AlternateContent>
      </w:r>
      <w:r w:rsidRPr="00FC2145">
        <w:rPr>
          <w:noProof/>
        </w:rPr>
        <w:t xml:space="preserve">In 2020, the labour force participation rate for persons (15 years and above) in Palestine was 40.9%: 65.1% for males and 16.1% for females. </w:t>
      </w:r>
    </w:p>
    <w:p w:rsidR="00E16FC2" w:rsidRPr="00FC2145" w:rsidRDefault="007D07DC" w:rsidP="00425440">
      <w:pPr>
        <w:pStyle w:val="BodyText2"/>
        <w:numPr>
          <w:ilvl w:val="0"/>
          <w:numId w:val="2"/>
        </w:numPr>
        <w:overflowPunct/>
        <w:autoSpaceDE/>
        <w:autoSpaceDN/>
        <w:adjustRightInd/>
        <w:spacing w:after="120"/>
        <w:ind w:left="266" w:hanging="266"/>
        <w:textAlignment w:val="auto"/>
        <w:rPr>
          <w:noProof/>
        </w:rPr>
      </w:pPr>
      <w:r>
        <w:rPr>
          <w:noProof/>
        </w:rPr>
        <w:t>and</w:t>
      </w:r>
      <w:r w:rsidR="00E16FC2" w:rsidRPr="00FC2145">
        <w:rPr>
          <w:noProof/>
        </w:rPr>
        <w:t xml:space="preserve"> the unemployment rate was 25.9% in Palestine: 22.5% for males against  40.1% for females.</w:t>
      </w:r>
    </w:p>
    <w:p w:rsidR="00E16FC2" w:rsidRPr="00FC2145" w:rsidRDefault="00E16FC2" w:rsidP="00425440">
      <w:pPr>
        <w:pStyle w:val="BodyText2"/>
        <w:numPr>
          <w:ilvl w:val="0"/>
          <w:numId w:val="2"/>
        </w:numPr>
        <w:overflowPunct/>
        <w:autoSpaceDE/>
        <w:autoSpaceDN/>
        <w:adjustRightInd/>
        <w:spacing w:after="120"/>
        <w:ind w:left="266" w:hanging="266"/>
        <w:textAlignment w:val="auto"/>
        <w:rPr>
          <w:noProof/>
        </w:rPr>
      </w:pPr>
      <w:r w:rsidRPr="00FC2145">
        <w:rPr>
          <w:noProof/>
        </w:rPr>
        <w:t xml:space="preserve">Most workers (72.3%) in Palestine, in </w:t>
      </w:r>
      <w:r w:rsidRPr="00FC2145">
        <w:rPr>
          <w:rFonts w:hint="cs"/>
          <w:noProof/>
          <w:rtl/>
        </w:rPr>
        <w:t>2020</w:t>
      </w:r>
      <w:r w:rsidRPr="00FC2145">
        <w:rPr>
          <w:noProof/>
        </w:rPr>
        <w:t xml:space="preserve">, were waged employees: </w:t>
      </w:r>
      <w:r w:rsidRPr="00FC2145">
        <w:rPr>
          <w:rFonts w:hint="cs"/>
          <w:noProof/>
          <w:rtl/>
        </w:rPr>
        <w:t>94.0</w:t>
      </w:r>
      <w:r w:rsidRPr="00FC2145">
        <w:rPr>
          <w:noProof/>
        </w:rPr>
        <w:t>% of workers working in Israel and Israeli settlements are waged employees.</w:t>
      </w:r>
    </w:p>
    <w:p w:rsidR="00E16FC2" w:rsidRDefault="00E16FC2" w:rsidP="00425440">
      <w:pPr>
        <w:pStyle w:val="BodyText2"/>
        <w:numPr>
          <w:ilvl w:val="0"/>
          <w:numId w:val="2"/>
        </w:numPr>
        <w:overflowPunct/>
        <w:autoSpaceDE/>
        <w:autoSpaceDN/>
        <w:adjustRightInd/>
        <w:spacing w:after="120"/>
        <w:ind w:left="266" w:hanging="266"/>
        <w:textAlignment w:val="auto"/>
        <w:rPr>
          <w:noProof/>
        </w:rPr>
      </w:pPr>
      <w:r w:rsidRPr="00FC2145">
        <w:rPr>
          <w:noProof/>
        </w:rPr>
        <w:t>1.9% of children in Palestine were employmed: 3.6% males and 0.2% females in 2020.</w:t>
      </w:r>
    </w:p>
    <w:p w:rsidR="00B172A9" w:rsidRDefault="00B172A9" w:rsidP="00B172A9">
      <w:pPr>
        <w:pStyle w:val="BodyText2"/>
        <w:overflowPunct/>
        <w:autoSpaceDE/>
        <w:autoSpaceDN/>
        <w:adjustRightInd/>
        <w:spacing w:after="120"/>
        <w:textAlignment w:val="auto"/>
        <w:rPr>
          <w:noProof/>
        </w:rPr>
      </w:pPr>
    </w:p>
    <w:p w:rsidR="00B172A9" w:rsidRDefault="00B172A9" w:rsidP="00B172A9">
      <w:pPr>
        <w:pStyle w:val="BodyText2"/>
        <w:overflowPunct/>
        <w:autoSpaceDE/>
        <w:autoSpaceDN/>
        <w:adjustRightInd/>
        <w:spacing w:after="120"/>
        <w:textAlignment w:val="auto"/>
        <w:rPr>
          <w:noProof/>
        </w:rPr>
      </w:pPr>
    </w:p>
    <w:p w:rsidR="00B172A9" w:rsidRDefault="00B172A9" w:rsidP="00B172A9">
      <w:pPr>
        <w:pStyle w:val="BodyText2"/>
        <w:overflowPunct/>
        <w:autoSpaceDE/>
        <w:autoSpaceDN/>
        <w:adjustRightInd/>
        <w:spacing w:after="120"/>
        <w:textAlignment w:val="auto"/>
        <w:rPr>
          <w:noProof/>
        </w:rPr>
      </w:pPr>
    </w:p>
    <w:p w:rsidR="00B172A9" w:rsidRDefault="00B172A9" w:rsidP="00B172A9">
      <w:pPr>
        <w:pStyle w:val="BodyText2"/>
        <w:overflowPunct/>
        <w:autoSpaceDE/>
        <w:autoSpaceDN/>
        <w:adjustRightInd/>
        <w:spacing w:after="120"/>
        <w:textAlignment w:val="auto"/>
        <w:rPr>
          <w:noProof/>
        </w:rPr>
      </w:pPr>
    </w:p>
    <w:p w:rsidR="00B172A9" w:rsidRDefault="00B172A9" w:rsidP="00B172A9">
      <w:pPr>
        <w:pStyle w:val="BodyText2"/>
        <w:overflowPunct/>
        <w:autoSpaceDE/>
        <w:autoSpaceDN/>
        <w:adjustRightInd/>
        <w:spacing w:after="120"/>
        <w:textAlignment w:val="auto"/>
        <w:rPr>
          <w:noProof/>
        </w:rPr>
      </w:pPr>
    </w:p>
    <w:p w:rsidR="00B172A9" w:rsidRDefault="00B172A9" w:rsidP="00B172A9">
      <w:pPr>
        <w:pStyle w:val="BodyText2"/>
        <w:overflowPunct/>
        <w:autoSpaceDE/>
        <w:autoSpaceDN/>
        <w:adjustRightInd/>
        <w:spacing w:after="120"/>
        <w:textAlignment w:val="auto"/>
        <w:rPr>
          <w:noProof/>
        </w:rPr>
      </w:pPr>
    </w:p>
    <w:p w:rsidR="00B172A9" w:rsidRDefault="00B172A9" w:rsidP="00B172A9">
      <w:pPr>
        <w:pStyle w:val="BodyText2"/>
        <w:overflowPunct/>
        <w:autoSpaceDE/>
        <w:autoSpaceDN/>
        <w:adjustRightInd/>
        <w:spacing w:after="120"/>
        <w:textAlignment w:val="auto"/>
        <w:rPr>
          <w:noProof/>
        </w:rPr>
      </w:pPr>
    </w:p>
    <w:p w:rsidR="00B172A9" w:rsidRDefault="00B172A9" w:rsidP="00B172A9">
      <w:pPr>
        <w:pStyle w:val="BodyText2"/>
        <w:overflowPunct/>
        <w:autoSpaceDE/>
        <w:autoSpaceDN/>
        <w:adjustRightInd/>
        <w:spacing w:after="120"/>
        <w:textAlignment w:val="auto"/>
        <w:rPr>
          <w:noProof/>
        </w:rPr>
      </w:pPr>
    </w:p>
    <w:p w:rsidR="00B172A9" w:rsidRPr="00FC2145" w:rsidRDefault="00B172A9" w:rsidP="00B172A9">
      <w:pPr>
        <w:pStyle w:val="BodyText2"/>
        <w:overflowPunct/>
        <w:autoSpaceDE/>
        <w:autoSpaceDN/>
        <w:adjustRightInd/>
        <w:spacing w:after="120"/>
        <w:textAlignment w:val="auto"/>
        <w:rPr>
          <w:noProof/>
        </w:rPr>
      </w:pPr>
    </w:p>
    <w:p w:rsidR="00E16FC2" w:rsidRPr="00FC2145" w:rsidRDefault="00E16FC2" w:rsidP="00E16FC2">
      <w:pPr>
        <w:jc w:val="center"/>
        <w:rPr>
          <w:rFonts w:ascii="Arial" w:hAnsi="Arial" w:cs="Arial"/>
          <w:b/>
          <w:bCs/>
          <w:snapToGrid w:val="0"/>
          <w:sz w:val="18"/>
          <w:szCs w:val="18"/>
        </w:rPr>
      </w:pPr>
      <w:r w:rsidRPr="00FC2145">
        <w:rPr>
          <w:rFonts w:ascii="Arial" w:hAnsi="Arial" w:cs="Arial"/>
          <w:b/>
          <w:bCs/>
          <w:snapToGrid w:val="0"/>
          <w:sz w:val="18"/>
          <w:szCs w:val="18"/>
        </w:rPr>
        <w:lastRenderedPageBreak/>
        <w:t xml:space="preserve">Percentage of Individuals (15 Years and Above) in Palestine by </w:t>
      </w:r>
      <w:proofErr w:type="spellStart"/>
      <w:r w:rsidRPr="00FC2145">
        <w:rPr>
          <w:rFonts w:ascii="Arial" w:hAnsi="Arial" w:cs="Arial"/>
          <w:b/>
          <w:bCs/>
          <w:snapToGrid w:val="0"/>
          <w:sz w:val="18"/>
          <w:szCs w:val="18"/>
        </w:rPr>
        <w:t>Labour</w:t>
      </w:r>
      <w:proofErr w:type="spellEnd"/>
      <w:r w:rsidRPr="00FC2145">
        <w:rPr>
          <w:rFonts w:ascii="Arial" w:hAnsi="Arial" w:cs="Arial"/>
          <w:b/>
          <w:bCs/>
          <w:snapToGrid w:val="0"/>
          <w:sz w:val="18"/>
          <w:szCs w:val="18"/>
        </w:rPr>
        <w:t xml:space="preserve"> Force Status and Age Groups, 2020</w:t>
      </w:r>
    </w:p>
    <w:p w:rsidR="00E16FC2" w:rsidRPr="00FC2145" w:rsidRDefault="00E16FC2" w:rsidP="00E16FC2">
      <w:pPr>
        <w:jc w:val="center"/>
        <w:rPr>
          <w:rFonts w:ascii="Arial" w:hAnsi="Arial" w:cs="Arial"/>
          <w:b/>
          <w:bCs/>
          <w:snapToGrid w:val="0"/>
          <w:sz w:val="10"/>
          <w:szCs w:val="10"/>
        </w:rPr>
      </w:pPr>
    </w:p>
    <w:p w:rsidR="00E16FC2" w:rsidRPr="00FC2145" w:rsidRDefault="00E16FC2" w:rsidP="00E16FC2">
      <w:pPr>
        <w:jc w:val="center"/>
        <w:rPr>
          <w:b/>
          <w:bCs/>
          <w:rtl/>
        </w:rPr>
      </w:pPr>
      <w:r w:rsidRPr="00FC2145">
        <w:rPr>
          <w:rFonts w:ascii="Arial" w:hAnsi="Arial" w:cs="Arial"/>
          <w:b/>
          <w:bCs/>
          <w:noProof/>
          <w:sz w:val="18"/>
          <w:szCs w:val="18"/>
          <w:bdr w:val="single" w:sz="4" w:space="0" w:color="auto"/>
          <w:vertAlign w:val="subscript"/>
        </w:rPr>
        <w:drawing>
          <wp:inline distT="0" distB="0" distL="0" distR="0" wp14:anchorId="393EECC4" wp14:editId="3E0DF63E">
            <wp:extent cx="4651375" cy="1789043"/>
            <wp:effectExtent l="0" t="0" r="0" b="1905"/>
            <wp:docPr id="14"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561F1" w:rsidRDefault="002C5122" w:rsidP="00C561F1">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labo</w:t>
      </w:r>
      <w:r w:rsidR="00575A5D" w:rsidRPr="00FC2145">
        <w:rPr>
          <w:rFonts w:cs="Times New Roman"/>
          <w:b/>
          <w:bCs/>
          <w:i/>
          <w:iCs/>
          <w:sz w:val="18"/>
          <w:szCs w:val="18"/>
          <w:u w:val="single"/>
        </w:rPr>
        <w:t>u</w:t>
      </w:r>
      <w:r w:rsidRPr="00FC2145">
        <w:rPr>
          <w:rFonts w:cs="Times New Roman"/>
          <w:b/>
          <w:bCs/>
          <w:i/>
          <w:iCs/>
          <w:sz w:val="18"/>
          <w:szCs w:val="18"/>
          <w:u w:val="single"/>
        </w:rPr>
        <w:t>r and wages, see the tables in chapter 1.</w:t>
      </w:r>
      <w:r w:rsidR="00C561F1">
        <w:rPr>
          <w:rFonts w:cs="Times New Roman"/>
          <w:b/>
          <w:bCs/>
          <w:i/>
          <w:iCs/>
          <w:sz w:val="18"/>
          <w:szCs w:val="18"/>
          <w:u w:val="single"/>
        </w:rPr>
        <w:t>5</w:t>
      </w:r>
      <w:r w:rsidRPr="00FC2145">
        <w:rPr>
          <w:rFonts w:cs="Times New Roman"/>
          <w:b/>
          <w:bCs/>
          <w:i/>
          <w:iCs/>
          <w:sz w:val="18"/>
          <w:szCs w:val="18"/>
          <w:u w:val="single"/>
        </w:rPr>
        <w:t xml:space="preserve"> of the Arabic section, pages</w:t>
      </w:r>
    </w:p>
    <w:p w:rsidR="002C5122" w:rsidRPr="00FC2145" w:rsidRDefault="002C5122" w:rsidP="00C561F1">
      <w:pPr>
        <w:pStyle w:val="ListParagraph"/>
        <w:bidi w:val="0"/>
        <w:ind w:left="0"/>
        <w:jc w:val="lowKashida"/>
        <w:rPr>
          <w:rFonts w:cs="Times New Roman"/>
          <w:b/>
          <w:bCs/>
          <w:i/>
          <w:iCs/>
          <w:sz w:val="18"/>
          <w:szCs w:val="18"/>
          <w:u w:val="single"/>
        </w:rPr>
      </w:pPr>
      <w:r w:rsidRPr="00FC2145">
        <w:rPr>
          <w:rFonts w:cs="Times New Roman"/>
          <w:b/>
          <w:bCs/>
          <w:i/>
          <w:iCs/>
          <w:sz w:val="18"/>
          <w:szCs w:val="18"/>
          <w:u w:val="single"/>
          <w:rtl/>
        </w:rPr>
        <w:t xml:space="preserve"> </w:t>
      </w:r>
      <w:r w:rsidR="00C561F1">
        <w:rPr>
          <w:rFonts w:cs="Times New Roman"/>
          <w:b/>
          <w:bCs/>
          <w:i/>
          <w:iCs/>
          <w:sz w:val="18"/>
          <w:szCs w:val="18"/>
          <w:u w:val="single"/>
        </w:rPr>
        <w:t>57</w:t>
      </w:r>
      <w:r w:rsidRPr="00FC2145">
        <w:rPr>
          <w:rFonts w:cs="Times New Roman"/>
          <w:b/>
          <w:bCs/>
          <w:i/>
          <w:iCs/>
          <w:sz w:val="18"/>
          <w:szCs w:val="18"/>
          <w:u w:val="single"/>
        </w:rPr>
        <w:t>-</w:t>
      </w:r>
      <w:r w:rsidR="00C561F1">
        <w:rPr>
          <w:rFonts w:cs="Times New Roman"/>
          <w:b/>
          <w:bCs/>
          <w:i/>
          <w:iCs/>
          <w:sz w:val="18"/>
          <w:szCs w:val="18"/>
          <w:u w:val="single"/>
        </w:rPr>
        <w:t>70</w:t>
      </w:r>
      <w:r w:rsidRPr="00FC2145">
        <w:rPr>
          <w:rFonts w:cs="Times New Roman"/>
          <w:b/>
          <w:bCs/>
          <w:i/>
          <w:iCs/>
          <w:sz w:val="18"/>
          <w:szCs w:val="18"/>
          <w:u w:val="single"/>
        </w:rPr>
        <w:t>.</w:t>
      </w:r>
    </w:p>
    <w:p w:rsidR="00240C22" w:rsidRPr="00FC2145" w:rsidRDefault="00240C22" w:rsidP="00240C22">
      <w:pPr>
        <w:pStyle w:val="ListParagraph"/>
        <w:bidi w:val="0"/>
        <w:ind w:left="0"/>
        <w:jc w:val="lowKashida"/>
        <w:rPr>
          <w:rFonts w:cs="Times New Roman"/>
          <w:b/>
          <w:bCs/>
          <w:i/>
          <w:iCs/>
          <w:sz w:val="18"/>
          <w:szCs w:val="18"/>
          <w:u w:val="single"/>
        </w:rPr>
      </w:pPr>
    </w:p>
    <w:p w:rsidR="00D27191" w:rsidRPr="00FC2145" w:rsidRDefault="00D27191" w:rsidP="00332048">
      <w:pPr>
        <w:pStyle w:val="Title"/>
        <w:numPr>
          <w:ilvl w:val="0"/>
          <w:numId w:val="19"/>
        </w:numPr>
        <w:bidi w:val="0"/>
        <w:ind w:left="252" w:hanging="252"/>
        <w:jc w:val="left"/>
        <w:rPr>
          <w:rFonts w:cs="Traditional Arabic"/>
          <w:sz w:val="20"/>
          <w:szCs w:val="20"/>
        </w:rPr>
      </w:pPr>
      <w:r w:rsidRPr="00FC2145">
        <w:rPr>
          <w:rFonts w:cs="Traditional Arabic"/>
          <w:sz w:val="20"/>
          <w:szCs w:val="20"/>
        </w:rPr>
        <w:t xml:space="preserve">Education </w:t>
      </w:r>
    </w:p>
    <w:p w:rsidR="0031155E" w:rsidRPr="00FC2145" w:rsidRDefault="0031155E" w:rsidP="00307E71">
      <w:pPr>
        <w:pStyle w:val="BodyText2"/>
        <w:numPr>
          <w:ilvl w:val="0"/>
          <w:numId w:val="2"/>
        </w:numPr>
        <w:overflowPunct/>
        <w:autoSpaceDE/>
        <w:autoSpaceDN/>
        <w:adjustRightInd/>
        <w:spacing w:after="120"/>
        <w:ind w:left="266" w:hanging="266"/>
        <w:textAlignment w:val="auto"/>
        <w:rPr>
          <w:noProof/>
        </w:rPr>
      </w:pPr>
      <w:r w:rsidRPr="00FC2145">
        <w:rPr>
          <w:noProof/>
        </w:rPr>
        <w:t xml:space="preserve">The total number of schools in Palestine in 2020/2021 was 3,107 comprising 2,343 schools in the West Bank and 764 schools in Gaza Strip. </w:t>
      </w:r>
    </w:p>
    <w:p w:rsidR="0031155E" w:rsidRPr="00FC2145" w:rsidRDefault="0031155E" w:rsidP="00307E71">
      <w:pPr>
        <w:pStyle w:val="BodyText2"/>
        <w:numPr>
          <w:ilvl w:val="0"/>
          <w:numId w:val="2"/>
        </w:numPr>
        <w:overflowPunct/>
        <w:autoSpaceDE/>
        <w:autoSpaceDN/>
        <w:adjustRightInd/>
        <w:spacing w:after="120"/>
        <w:ind w:left="266" w:hanging="266"/>
        <w:textAlignment w:val="auto"/>
        <w:rPr>
          <w:noProof/>
        </w:rPr>
      </w:pPr>
      <w:r w:rsidRPr="00FC2145">
        <w:rPr>
          <w:noProof/>
        </w:rPr>
        <w:t xml:space="preserve">The  total  number of students was 1,338,353 students: 1,078,091 students at basic stage and </w:t>
      </w:r>
      <w:r w:rsidRPr="00FC2145">
        <w:rPr>
          <w:rFonts w:hint="cs"/>
          <w:noProof/>
          <w:rtl/>
        </w:rPr>
        <w:t>2</w:t>
      </w:r>
      <w:r w:rsidRPr="00FC2145">
        <w:rPr>
          <w:noProof/>
        </w:rPr>
        <w:t>60,262 students at secondary stage.</w:t>
      </w:r>
    </w:p>
    <w:p w:rsidR="0031155E" w:rsidRPr="00FC2145" w:rsidRDefault="001C23EC" w:rsidP="00307E71">
      <w:pPr>
        <w:pStyle w:val="BodyText2"/>
        <w:numPr>
          <w:ilvl w:val="0"/>
          <w:numId w:val="2"/>
        </w:numPr>
        <w:overflowPunct/>
        <w:autoSpaceDE/>
        <w:autoSpaceDN/>
        <w:adjustRightInd/>
        <w:spacing w:after="120"/>
        <w:ind w:left="266" w:hanging="266"/>
        <w:textAlignment w:val="auto"/>
        <w:rPr>
          <w:noProof/>
        </w:rPr>
      </w:pPr>
      <w:r w:rsidRPr="00FC2145">
        <w:rPr>
          <w:noProof/>
        </w:rPr>
        <w:drawing>
          <wp:anchor distT="0" distB="0" distL="114300" distR="114300" simplePos="0" relativeHeight="251671552" behindDoc="0" locked="0" layoutInCell="1" allowOverlap="1" wp14:anchorId="66995930" wp14:editId="23FF7DF3">
            <wp:simplePos x="0" y="0"/>
            <wp:positionH relativeFrom="column">
              <wp:posOffset>1816348</wp:posOffset>
            </wp:positionH>
            <wp:positionV relativeFrom="paragraph">
              <wp:posOffset>67089</wp:posOffset>
            </wp:positionV>
            <wp:extent cx="2846070" cy="3545205"/>
            <wp:effectExtent l="19050" t="19050" r="11430" b="17145"/>
            <wp:wrapSquare wrapText="bothSides"/>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كتاب فلسطين الاحصائي السنوي 2020 نهائي\كتاب فلسطين الاحصائي السنوي 2020-PHCD\خرائط\Cultural_2020_En.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5445" t="12230" r="5823" b="12810"/>
                    <a:stretch/>
                  </pic:blipFill>
                  <pic:spPr bwMode="auto">
                    <a:xfrm>
                      <a:off x="0" y="0"/>
                      <a:ext cx="2846070" cy="354520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1155E" w:rsidRPr="00FC2145">
        <w:rPr>
          <w:noProof/>
        </w:rPr>
        <w:t>The average number of students per class in the basic stage by supervisory authority was 30.2 in governmental schools, 38.5 in UNRWA schools, and 21.5 in private schools. The average number of students per class in the secondary stage was 29.4 in governmental schools, 23.4 in UNRWA schools and 19.1 in private schools.</w:t>
      </w:r>
    </w:p>
    <w:p w:rsidR="00604E41" w:rsidRPr="00FC2145" w:rsidRDefault="00604E41" w:rsidP="00F753AE">
      <w:pPr>
        <w:pStyle w:val="ListParagraph"/>
        <w:bidi w:val="0"/>
        <w:ind w:left="0"/>
        <w:jc w:val="lowKashida"/>
        <w:rPr>
          <w:rFonts w:cs="Times New Roman"/>
          <w:b/>
          <w:bCs/>
          <w:i/>
          <w:iCs/>
          <w:sz w:val="18"/>
          <w:szCs w:val="18"/>
          <w:u w:val="single"/>
        </w:rPr>
      </w:pPr>
    </w:p>
    <w:p w:rsidR="00F753AE" w:rsidRPr="00FC2145" w:rsidRDefault="00F753AE" w:rsidP="00C561F1">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education, see the tables in chapter 1.</w:t>
      </w:r>
      <w:r w:rsidR="00C561F1">
        <w:rPr>
          <w:rFonts w:cs="Times New Roman"/>
          <w:b/>
          <w:bCs/>
          <w:i/>
          <w:iCs/>
          <w:sz w:val="18"/>
          <w:szCs w:val="18"/>
          <w:u w:val="single"/>
        </w:rPr>
        <w:t>6</w:t>
      </w:r>
      <w:r w:rsidRPr="00FC2145">
        <w:rPr>
          <w:rFonts w:cs="Times New Roman"/>
          <w:b/>
          <w:bCs/>
          <w:i/>
          <w:iCs/>
          <w:sz w:val="18"/>
          <w:szCs w:val="18"/>
          <w:u w:val="single"/>
        </w:rPr>
        <w:t xml:space="preserve"> of the Arabic section, pages </w:t>
      </w:r>
      <w:r w:rsidR="00C561F1">
        <w:rPr>
          <w:rFonts w:cs="Times New Roman"/>
          <w:b/>
          <w:bCs/>
          <w:i/>
          <w:iCs/>
          <w:sz w:val="18"/>
          <w:szCs w:val="18"/>
          <w:u w:val="single"/>
        </w:rPr>
        <w:t>71</w:t>
      </w:r>
      <w:r w:rsidRPr="00FC2145">
        <w:rPr>
          <w:rFonts w:cs="Times New Roman"/>
          <w:b/>
          <w:bCs/>
          <w:i/>
          <w:iCs/>
          <w:sz w:val="18"/>
          <w:szCs w:val="18"/>
          <w:u w:val="single"/>
        </w:rPr>
        <w:t>-</w:t>
      </w:r>
      <w:r w:rsidR="00C561F1">
        <w:rPr>
          <w:rFonts w:cs="Times New Roman"/>
          <w:b/>
          <w:bCs/>
          <w:i/>
          <w:iCs/>
          <w:sz w:val="18"/>
          <w:szCs w:val="18"/>
          <w:u w:val="single"/>
        </w:rPr>
        <w:t>84</w:t>
      </w:r>
      <w:r w:rsidRPr="00FC2145">
        <w:rPr>
          <w:rFonts w:cs="Times New Roman"/>
          <w:b/>
          <w:bCs/>
          <w:i/>
          <w:iCs/>
          <w:sz w:val="18"/>
          <w:szCs w:val="18"/>
          <w:u w:val="single"/>
        </w:rPr>
        <w:t>.</w:t>
      </w:r>
    </w:p>
    <w:p w:rsidR="00F753AE" w:rsidRPr="00FC2145" w:rsidRDefault="00F753AE" w:rsidP="00F753AE">
      <w:pPr>
        <w:pStyle w:val="Title"/>
        <w:bidi w:val="0"/>
        <w:ind w:left="98"/>
        <w:jc w:val="left"/>
        <w:rPr>
          <w:rFonts w:cs="Traditional Arabic"/>
          <w:sz w:val="20"/>
          <w:szCs w:val="20"/>
        </w:rPr>
      </w:pPr>
    </w:p>
    <w:p w:rsidR="0031155E" w:rsidRPr="00FC2145" w:rsidRDefault="0031155E" w:rsidP="0031155E">
      <w:pPr>
        <w:pStyle w:val="Title"/>
        <w:numPr>
          <w:ilvl w:val="0"/>
          <w:numId w:val="19"/>
        </w:numPr>
        <w:bidi w:val="0"/>
        <w:ind w:left="252" w:hanging="252"/>
        <w:jc w:val="left"/>
        <w:rPr>
          <w:rFonts w:cs="Traditional Arabic"/>
          <w:sz w:val="20"/>
          <w:szCs w:val="20"/>
        </w:rPr>
      </w:pPr>
      <w:r w:rsidRPr="00FC2145">
        <w:rPr>
          <w:rFonts w:cs="Traditional Arabic"/>
          <w:sz w:val="20"/>
          <w:szCs w:val="20"/>
        </w:rPr>
        <w:t>Culture</w:t>
      </w:r>
      <w:r w:rsidRPr="00FC2145">
        <w:rPr>
          <w:rFonts w:cs="Traditional Arabic"/>
          <w:sz w:val="20"/>
          <w:szCs w:val="20"/>
        </w:rPr>
        <w:tab/>
        <w:t xml:space="preserve">                              </w:t>
      </w:r>
    </w:p>
    <w:p w:rsidR="0031155E" w:rsidRPr="00FC2145" w:rsidRDefault="0031155E" w:rsidP="0031155E">
      <w:pPr>
        <w:pStyle w:val="BodyText2"/>
        <w:numPr>
          <w:ilvl w:val="0"/>
          <w:numId w:val="20"/>
        </w:numPr>
        <w:overflowPunct/>
        <w:autoSpaceDE/>
        <w:adjustRightInd/>
        <w:spacing w:after="120"/>
        <w:ind w:left="266" w:hanging="266"/>
        <w:textAlignment w:val="auto"/>
        <w:rPr>
          <w:noProof/>
        </w:rPr>
      </w:pPr>
      <w:r w:rsidRPr="00FC2145">
        <w:rPr>
          <w:noProof/>
        </w:rPr>
        <w:t xml:space="preserve">In 2020, there were 528 operating cultural centers and </w:t>
      </w:r>
      <w:r w:rsidRPr="00FC2145">
        <w:rPr>
          <w:rFonts w:hint="cs"/>
          <w:noProof/>
          <w:rtl/>
        </w:rPr>
        <w:t>32</w:t>
      </w:r>
      <w:r w:rsidRPr="00FC2145">
        <w:rPr>
          <w:noProof/>
        </w:rPr>
        <w:t xml:space="preserve"> operating museums in Palestine.</w:t>
      </w:r>
    </w:p>
    <w:p w:rsidR="0031155E" w:rsidRPr="00FC2145" w:rsidRDefault="0031155E" w:rsidP="0031155E">
      <w:pPr>
        <w:overflowPunct/>
        <w:autoSpaceDE/>
        <w:autoSpaceDN/>
        <w:adjustRightInd/>
        <w:jc w:val="center"/>
        <w:textAlignment w:val="auto"/>
        <w:rPr>
          <w:rFonts w:ascii="Arial" w:hAnsi="Arial" w:cs="Arial"/>
          <w:b/>
          <w:bCs/>
          <w:sz w:val="18"/>
          <w:szCs w:val="18"/>
        </w:rPr>
      </w:pPr>
    </w:p>
    <w:p w:rsidR="0031155E" w:rsidRPr="00FC2145" w:rsidRDefault="0031155E" w:rsidP="0031155E">
      <w:pPr>
        <w:overflowPunct/>
        <w:autoSpaceDE/>
        <w:autoSpaceDN/>
        <w:adjustRightInd/>
        <w:jc w:val="center"/>
        <w:textAlignment w:val="auto"/>
        <w:rPr>
          <w:rFonts w:ascii="Arial" w:hAnsi="Arial" w:cs="Arial"/>
          <w:b/>
          <w:bCs/>
          <w:sz w:val="18"/>
          <w:szCs w:val="18"/>
        </w:rPr>
      </w:pPr>
    </w:p>
    <w:p w:rsidR="0031155E" w:rsidRPr="00FC2145" w:rsidRDefault="0031155E" w:rsidP="0031155E">
      <w:pPr>
        <w:overflowPunct/>
        <w:autoSpaceDE/>
        <w:autoSpaceDN/>
        <w:adjustRightInd/>
        <w:jc w:val="center"/>
        <w:textAlignment w:val="auto"/>
        <w:rPr>
          <w:rFonts w:ascii="Arial" w:hAnsi="Arial" w:cs="Arial"/>
          <w:b/>
          <w:bCs/>
          <w:sz w:val="18"/>
          <w:szCs w:val="18"/>
        </w:rPr>
      </w:pPr>
      <w:r w:rsidRPr="00FC2145">
        <w:rPr>
          <w:rFonts w:ascii="Arial" w:hAnsi="Arial" w:cs="Arial"/>
          <w:b/>
          <w:bCs/>
          <w:sz w:val="18"/>
          <w:szCs w:val="18"/>
        </w:rPr>
        <w:lastRenderedPageBreak/>
        <w:t>Audience of Stage Shows in Palestine by Month, 2020</w:t>
      </w:r>
    </w:p>
    <w:p w:rsidR="0031155E" w:rsidRPr="00FC2145" w:rsidRDefault="0031155E" w:rsidP="0031155E">
      <w:pPr>
        <w:jc w:val="center"/>
        <w:rPr>
          <w:b/>
          <w:bCs/>
          <w:sz w:val="10"/>
          <w:szCs w:val="10"/>
        </w:rPr>
      </w:pPr>
    </w:p>
    <w:tbl>
      <w:tblPr>
        <w:tblStyle w:val="TableGrid"/>
        <w:tblW w:w="5000" w:type="pct"/>
        <w:tblLook w:val="04A0" w:firstRow="1" w:lastRow="0" w:firstColumn="1" w:lastColumn="0" w:noHBand="0" w:noVBand="1"/>
      </w:tblPr>
      <w:tblGrid>
        <w:gridCol w:w="7361"/>
      </w:tblGrid>
      <w:tr w:rsidR="008A424D" w:rsidRPr="00FC2145" w:rsidTr="00DB16D0">
        <w:tc>
          <w:tcPr>
            <w:tcW w:w="5000" w:type="pct"/>
          </w:tcPr>
          <w:p w:rsidR="0031155E" w:rsidRPr="00FC2145" w:rsidRDefault="0031155E" w:rsidP="00DB16D0">
            <w:pPr>
              <w:jc w:val="center"/>
              <w:rPr>
                <w:rFonts w:ascii="Arial" w:hAnsi="Arial" w:cs="Arial"/>
                <w:b/>
                <w:bCs/>
                <w:sz w:val="18"/>
                <w:szCs w:val="18"/>
              </w:rPr>
            </w:pPr>
            <w:r w:rsidRPr="00FC2145">
              <w:rPr>
                <w:rFonts w:ascii="Arial" w:hAnsi="Arial" w:cs="Arial"/>
                <w:b/>
                <w:bCs/>
                <w:noProof/>
                <w:sz w:val="18"/>
                <w:szCs w:val="18"/>
              </w:rPr>
              <w:drawing>
                <wp:inline distT="0" distB="0" distL="0" distR="0" wp14:anchorId="7E03BDCF" wp14:editId="7095AA6D">
                  <wp:extent cx="4683125" cy="2137144"/>
                  <wp:effectExtent l="1905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bl>
    <w:p w:rsidR="0031155E" w:rsidRPr="00FC2145" w:rsidRDefault="0031155E" w:rsidP="0031155E">
      <w:pPr>
        <w:pStyle w:val="ListParagraph"/>
        <w:bidi w:val="0"/>
        <w:ind w:left="0"/>
        <w:jc w:val="lowKashida"/>
        <w:rPr>
          <w:rFonts w:cs="Times New Roman"/>
          <w:b/>
          <w:bCs/>
          <w:sz w:val="18"/>
          <w:szCs w:val="18"/>
        </w:rPr>
      </w:pPr>
      <w:r w:rsidRPr="00FC2145">
        <w:rPr>
          <w:rFonts w:cs="Times New Roman"/>
          <w:b/>
          <w:bCs/>
          <w:sz w:val="18"/>
          <w:szCs w:val="18"/>
        </w:rPr>
        <w:t>Note: There are no stage shows were performed during the months March-May and July due to frequent lock-downmeasures to limit the spread of COVID-19 pandemic.</w:t>
      </w:r>
    </w:p>
    <w:p w:rsidR="0031155E" w:rsidRPr="00FC2145" w:rsidRDefault="0031155E" w:rsidP="0031155E">
      <w:pPr>
        <w:pStyle w:val="ListParagraph"/>
        <w:bidi w:val="0"/>
        <w:ind w:left="0"/>
        <w:jc w:val="lowKashida"/>
        <w:rPr>
          <w:rFonts w:cs="Times New Roman"/>
          <w:b/>
          <w:bCs/>
          <w:sz w:val="18"/>
          <w:szCs w:val="18"/>
        </w:rPr>
      </w:pPr>
    </w:p>
    <w:p w:rsidR="00F753AE" w:rsidRPr="00FC2145" w:rsidRDefault="00F753AE" w:rsidP="00C561F1">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culture, see the tables in chapter 1.</w:t>
      </w:r>
      <w:r w:rsidR="00C561F1">
        <w:rPr>
          <w:rFonts w:cs="Times New Roman"/>
          <w:b/>
          <w:bCs/>
          <w:i/>
          <w:iCs/>
          <w:sz w:val="18"/>
          <w:szCs w:val="18"/>
          <w:u w:val="single"/>
        </w:rPr>
        <w:t>7</w:t>
      </w:r>
      <w:r w:rsidRPr="00FC2145">
        <w:rPr>
          <w:rFonts w:cs="Times New Roman"/>
          <w:b/>
          <w:bCs/>
          <w:i/>
          <w:iCs/>
          <w:sz w:val="18"/>
          <w:szCs w:val="18"/>
          <w:u w:val="single"/>
        </w:rPr>
        <w:t xml:space="preserve"> of the Arabic section, pages </w:t>
      </w:r>
      <w:r w:rsidR="00C561F1">
        <w:rPr>
          <w:rFonts w:cs="Times New Roman"/>
          <w:b/>
          <w:bCs/>
          <w:i/>
          <w:iCs/>
          <w:sz w:val="18"/>
          <w:szCs w:val="18"/>
          <w:u w:val="single"/>
        </w:rPr>
        <w:t>85</w:t>
      </w:r>
      <w:r w:rsidRPr="00FC2145">
        <w:rPr>
          <w:rFonts w:cs="Times New Roman"/>
          <w:b/>
          <w:bCs/>
          <w:i/>
          <w:iCs/>
          <w:sz w:val="18"/>
          <w:szCs w:val="18"/>
          <w:u w:val="single"/>
        </w:rPr>
        <w:t>-</w:t>
      </w:r>
      <w:r w:rsidR="00C561F1">
        <w:rPr>
          <w:rFonts w:cs="Times New Roman"/>
          <w:b/>
          <w:bCs/>
          <w:i/>
          <w:iCs/>
          <w:sz w:val="18"/>
          <w:szCs w:val="18"/>
          <w:u w:val="single"/>
        </w:rPr>
        <w:t>90</w:t>
      </w:r>
      <w:r w:rsidRPr="00FC2145">
        <w:rPr>
          <w:rFonts w:cs="Times New Roman"/>
          <w:b/>
          <w:bCs/>
          <w:i/>
          <w:iCs/>
          <w:sz w:val="18"/>
          <w:szCs w:val="18"/>
          <w:u w:val="single"/>
        </w:rPr>
        <w:t>.</w:t>
      </w:r>
    </w:p>
    <w:p w:rsidR="00F753AE" w:rsidRPr="00FC2145" w:rsidRDefault="00F753AE" w:rsidP="00F753AE">
      <w:pPr>
        <w:pStyle w:val="Title"/>
        <w:bidi w:val="0"/>
        <w:ind w:left="98"/>
        <w:jc w:val="lowKashida"/>
        <w:rPr>
          <w:rFonts w:cs="Traditional Arabic"/>
          <w:sz w:val="20"/>
          <w:szCs w:val="20"/>
        </w:rPr>
      </w:pPr>
    </w:p>
    <w:p w:rsidR="00912D4D" w:rsidRPr="00FC2145" w:rsidRDefault="00912D4D" w:rsidP="00912D4D">
      <w:pPr>
        <w:pStyle w:val="Title"/>
        <w:bidi w:val="0"/>
        <w:ind w:left="98"/>
        <w:jc w:val="lowKashida"/>
        <w:rPr>
          <w:rFonts w:cs="Traditional Arabic"/>
          <w:sz w:val="20"/>
          <w:szCs w:val="20"/>
        </w:rPr>
      </w:pPr>
    </w:p>
    <w:p w:rsidR="007C643D" w:rsidRPr="00FC2145" w:rsidRDefault="007C643D" w:rsidP="007C643D">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Information Society</w:t>
      </w:r>
    </w:p>
    <w:p w:rsidR="00E61CAB" w:rsidRPr="00FC2145" w:rsidRDefault="00E61CAB" w:rsidP="00E61CAB">
      <w:pPr>
        <w:pStyle w:val="BodyText2"/>
        <w:numPr>
          <w:ilvl w:val="0"/>
          <w:numId w:val="2"/>
        </w:numPr>
        <w:overflowPunct/>
        <w:autoSpaceDE/>
        <w:autoSpaceDN/>
        <w:adjustRightInd/>
        <w:spacing w:after="120"/>
        <w:ind w:left="266" w:hanging="266"/>
        <w:textAlignment w:val="auto"/>
        <w:rPr>
          <w:noProof/>
        </w:rPr>
      </w:pPr>
      <w:r w:rsidRPr="00FC2145">
        <w:rPr>
          <w:noProof/>
        </w:rPr>
        <w:t>In 2019, 33.2% of households in Palestine had computer (Desktop, Laptop, Tablet).</w:t>
      </w:r>
    </w:p>
    <w:p w:rsidR="00E61CAB" w:rsidRPr="00FC2145" w:rsidRDefault="00E61CAB" w:rsidP="00E61CAB">
      <w:pPr>
        <w:pStyle w:val="BodyText2"/>
        <w:numPr>
          <w:ilvl w:val="0"/>
          <w:numId w:val="2"/>
        </w:numPr>
        <w:overflowPunct/>
        <w:autoSpaceDE/>
        <w:autoSpaceDN/>
        <w:adjustRightInd/>
        <w:spacing w:after="120"/>
        <w:ind w:left="266" w:hanging="266"/>
        <w:textAlignment w:val="auto"/>
        <w:rPr>
          <w:noProof/>
        </w:rPr>
      </w:pPr>
      <w:r w:rsidRPr="00FC2145">
        <w:rPr>
          <w:noProof/>
        </w:rPr>
        <w:t>In 2019, 79.6% of households in Palestine had an Internet service at home and 97.3% of households in Palestine had at least one mobile phone.</w:t>
      </w:r>
    </w:p>
    <w:p w:rsidR="00485D10" w:rsidRPr="00FC2145" w:rsidRDefault="00485D10" w:rsidP="00485D10">
      <w:pPr>
        <w:pStyle w:val="ListParagraph"/>
        <w:bidi w:val="0"/>
        <w:ind w:left="0"/>
        <w:jc w:val="lowKashida"/>
        <w:rPr>
          <w:rFonts w:cs="Times New Roman"/>
          <w:i/>
          <w:iCs/>
          <w:sz w:val="2"/>
          <w:szCs w:val="2"/>
          <w:u w:val="single"/>
        </w:rPr>
      </w:pPr>
    </w:p>
    <w:p w:rsidR="00D27191" w:rsidRPr="00FC2145" w:rsidRDefault="00D27191" w:rsidP="00C561F1">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the information society, see the tables in chapter 1.</w:t>
      </w:r>
      <w:r w:rsidR="00C561F1">
        <w:rPr>
          <w:rFonts w:cs="Times New Roman"/>
          <w:b/>
          <w:bCs/>
          <w:i/>
          <w:iCs/>
          <w:sz w:val="18"/>
          <w:szCs w:val="18"/>
          <w:u w:val="single"/>
        </w:rPr>
        <w:t>8</w:t>
      </w:r>
      <w:r w:rsidRPr="00FC2145">
        <w:rPr>
          <w:rFonts w:cs="Times New Roman"/>
          <w:b/>
          <w:bCs/>
          <w:i/>
          <w:iCs/>
          <w:sz w:val="18"/>
          <w:szCs w:val="18"/>
          <w:u w:val="single"/>
        </w:rPr>
        <w:t xml:space="preserve"> of the Arabic section, pages</w:t>
      </w:r>
      <w:r w:rsidRPr="00FC2145">
        <w:rPr>
          <w:rFonts w:cs="Times New Roman"/>
          <w:b/>
          <w:bCs/>
          <w:i/>
          <w:iCs/>
          <w:sz w:val="18"/>
          <w:szCs w:val="18"/>
          <w:u w:val="single"/>
          <w:rtl/>
        </w:rPr>
        <w:t xml:space="preserve"> </w:t>
      </w:r>
      <w:r w:rsidR="00C561F1">
        <w:rPr>
          <w:rFonts w:cs="Times New Roman"/>
          <w:b/>
          <w:bCs/>
          <w:i/>
          <w:iCs/>
          <w:sz w:val="18"/>
          <w:szCs w:val="18"/>
          <w:u w:val="single"/>
        </w:rPr>
        <w:t>91</w:t>
      </w:r>
      <w:r w:rsidRPr="00FC2145">
        <w:rPr>
          <w:rFonts w:cs="Times New Roman"/>
          <w:b/>
          <w:bCs/>
          <w:i/>
          <w:iCs/>
          <w:sz w:val="18"/>
          <w:szCs w:val="18"/>
          <w:u w:val="single"/>
        </w:rPr>
        <w:t>-</w:t>
      </w:r>
      <w:r w:rsidR="00C561F1">
        <w:rPr>
          <w:rFonts w:cs="Times New Roman"/>
          <w:b/>
          <w:bCs/>
          <w:i/>
          <w:iCs/>
          <w:sz w:val="18"/>
          <w:szCs w:val="18"/>
          <w:u w:val="single"/>
        </w:rPr>
        <w:t>94</w:t>
      </w:r>
      <w:r w:rsidRPr="00FC2145">
        <w:rPr>
          <w:rFonts w:cs="Times New Roman"/>
          <w:b/>
          <w:bCs/>
          <w:i/>
          <w:iCs/>
          <w:sz w:val="18"/>
          <w:szCs w:val="18"/>
          <w:u w:val="single"/>
        </w:rPr>
        <w:t>.</w:t>
      </w:r>
    </w:p>
    <w:p w:rsidR="00604E41" w:rsidRPr="00FC2145" w:rsidRDefault="00604E41" w:rsidP="00604E41">
      <w:pPr>
        <w:pStyle w:val="ListParagraph"/>
        <w:bidi w:val="0"/>
        <w:ind w:left="0"/>
        <w:jc w:val="lowKashida"/>
        <w:rPr>
          <w:rFonts w:cs="Times New Roman"/>
          <w:b/>
          <w:bCs/>
          <w:i/>
          <w:iCs/>
          <w:sz w:val="18"/>
          <w:szCs w:val="18"/>
          <w:u w:val="single"/>
        </w:rPr>
      </w:pPr>
    </w:p>
    <w:p w:rsidR="00EB1A1F" w:rsidRPr="00FC2145" w:rsidRDefault="008D1EBD" w:rsidP="000878AD">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 xml:space="preserve">Agriculture and </w:t>
      </w:r>
      <w:r w:rsidR="00EB1A1F" w:rsidRPr="00FC2145">
        <w:rPr>
          <w:rFonts w:cs="Traditional Arabic"/>
          <w:sz w:val="20"/>
          <w:szCs w:val="20"/>
        </w:rPr>
        <w:t>Land Use</w:t>
      </w:r>
    </w:p>
    <w:p w:rsidR="00240C22" w:rsidRPr="00FC2145" w:rsidRDefault="00240C22" w:rsidP="00240C22">
      <w:pPr>
        <w:pStyle w:val="BodyText2"/>
        <w:numPr>
          <w:ilvl w:val="0"/>
          <w:numId w:val="2"/>
        </w:numPr>
        <w:overflowPunct/>
        <w:autoSpaceDE/>
        <w:autoSpaceDN/>
        <w:adjustRightInd/>
        <w:ind w:left="266" w:hanging="266"/>
        <w:textAlignment w:val="auto"/>
        <w:rPr>
          <w:noProof/>
        </w:rPr>
      </w:pPr>
      <w:r w:rsidRPr="00FC2145">
        <w:rPr>
          <w:noProof/>
        </w:rPr>
        <w:t xml:space="preserve">The total amount of fishing in Gaza Strip reached </w:t>
      </w:r>
      <w:r w:rsidRPr="00FC2145">
        <w:rPr>
          <w:rFonts w:ascii="Simplified Arabic" w:hAnsi="Simplified Arabic" w:hint="cs"/>
          <w:rtl/>
        </w:rPr>
        <w:t>3,943</w:t>
      </w:r>
      <w:r w:rsidRPr="00FC2145">
        <w:rPr>
          <w:rFonts w:ascii="Simplified Arabic" w:hAnsi="Simplified Arabic"/>
        </w:rPr>
        <w:t xml:space="preserve"> </w:t>
      </w:r>
      <w:r w:rsidRPr="00FC2145">
        <w:rPr>
          <w:noProof/>
        </w:rPr>
        <w:t xml:space="preserve">tons in 2019, of which Anchovies, were the most important as the fished amount totaled approximately </w:t>
      </w:r>
      <w:r w:rsidRPr="00FC2145">
        <w:rPr>
          <w:rFonts w:ascii="Simplified Arabic" w:hAnsi="Simplified Arabic" w:hint="cs"/>
          <w:rtl/>
        </w:rPr>
        <w:t>974</w:t>
      </w:r>
      <w:r w:rsidRPr="00FC2145">
        <w:rPr>
          <w:rFonts w:ascii="Simplified Arabic" w:hAnsi="Simplified Arabic"/>
        </w:rPr>
        <w:t xml:space="preserve"> </w:t>
      </w:r>
      <w:r w:rsidRPr="00FC2145">
        <w:rPr>
          <w:noProof/>
        </w:rPr>
        <w:t>tons</w:t>
      </w:r>
      <w:r w:rsidRPr="00FC2145">
        <w:rPr>
          <w:noProof/>
          <w:rtl/>
        </w:rPr>
        <w:t>.</w:t>
      </w:r>
    </w:p>
    <w:p w:rsidR="00240C22" w:rsidRPr="00FC2145" w:rsidRDefault="00240C22" w:rsidP="00240C22">
      <w:pPr>
        <w:pStyle w:val="BodyText2"/>
        <w:numPr>
          <w:ilvl w:val="0"/>
          <w:numId w:val="2"/>
        </w:numPr>
        <w:overflowPunct/>
        <w:autoSpaceDE/>
        <w:autoSpaceDN/>
        <w:adjustRightInd/>
        <w:ind w:left="266" w:hanging="266"/>
        <w:textAlignment w:val="auto"/>
        <w:rPr>
          <w:noProof/>
          <w:rtl/>
        </w:rPr>
      </w:pPr>
      <w:r w:rsidRPr="00FC2145">
        <w:rPr>
          <w:noProof/>
        </w:rPr>
        <w:t xml:space="preserve">The number of slaughtered livestock in operating slaughterhouses in palestine was </w:t>
      </w:r>
      <w:r w:rsidRPr="00FC2145">
        <w:rPr>
          <w:rFonts w:ascii="Simplified Arabic" w:hAnsi="Simplified Arabic" w:cs="Simplified Arabic"/>
          <w:rtl/>
        </w:rPr>
        <w:t>35,969</w:t>
      </w:r>
      <w:r w:rsidRPr="00FC2145">
        <w:rPr>
          <w:noProof/>
        </w:rPr>
        <w:t xml:space="preserve"> head of cattle, </w:t>
      </w:r>
      <w:r w:rsidRPr="00FC2145">
        <w:rPr>
          <w:rFonts w:ascii="Simplified Arabic" w:hAnsi="Simplified Arabic" w:cs="Simplified Arabic"/>
          <w:rtl/>
        </w:rPr>
        <w:t>65,509</w:t>
      </w:r>
      <w:r w:rsidRPr="00FC2145">
        <w:rPr>
          <w:rFonts w:ascii="Simplified Arabic" w:hAnsi="Simplified Arabic" w:cs="Simplified Arabic"/>
        </w:rPr>
        <w:t xml:space="preserve"> </w:t>
      </w:r>
      <w:r w:rsidRPr="00FC2145">
        <w:rPr>
          <w:noProof/>
        </w:rPr>
        <w:t xml:space="preserve">head of sheep and </w:t>
      </w:r>
      <w:r w:rsidRPr="00FC2145">
        <w:rPr>
          <w:rFonts w:ascii="Simplified Arabic" w:hAnsi="Simplified Arabic" w:cs="Simplified Arabic"/>
          <w:rtl/>
        </w:rPr>
        <w:t>5,936</w:t>
      </w:r>
      <w:r w:rsidRPr="00FC2145">
        <w:rPr>
          <w:rFonts w:ascii="Simplified Arabic" w:hAnsi="Simplified Arabic" w:cs="Simplified Arabic"/>
        </w:rPr>
        <w:t xml:space="preserve"> </w:t>
      </w:r>
      <w:r w:rsidRPr="00FC2145">
        <w:rPr>
          <w:noProof/>
        </w:rPr>
        <w:t xml:space="preserve">head of goats. while the number of slaughtered birds was </w:t>
      </w:r>
      <w:proofErr w:type="gramStart"/>
      <w:r w:rsidRPr="00FC2145">
        <w:rPr>
          <w:rFonts w:ascii="Simplified Arabic" w:hAnsi="Simplified Arabic" w:cs="Simplified Arabic"/>
          <w:rtl/>
        </w:rPr>
        <w:t>9,950</w:t>
      </w:r>
      <w:proofErr w:type="gramEnd"/>
      <w:r w:rsidRPr="00FC2145">
        <w:rPr>
          <w:rFonts w:ascii="Simplified Arabic" w:hAnsi="Simplified Arabic" w:cs="Simplified Arabic"/>
        </w:rPr>
        <w:t xml:space="preserve"> </w:t>
      </w:r>
      <w:r w:rsidRPr="00FC2145">
        <w:rPr>
          <w:noProof/>
        </w:rPr>
        <w:t>thousand bird during year 2019</w:t>
      </w:r>
      <w:r w:rsidRPr="00FC2145">
        <w:rPr>
          <w:noProof/>
          <w:rtl/>
        </w:rPr>
        <w:t>.</w:t>
      </w:r>
    </w:p>
    <w:p w:rsidR="00240C22" w:rsidRPr="00FC2145" w:rsidRDefault="00240C22" w:rsidP="00C46BE6">
      <w:pPr>
        <w:pStyle w:val="BodyText2"/>
        <w:numPr>
          <w:ilvl w:val="0"/>
          <w:numId w:val="2"/>
        </w:numPr>
        <w:overflowPunct/>
        <w:autoSpaceDE/>
        <w:autoSpaceDN/>
        <w:adjustRightInd/>
        <w:ind w:left="266" w:hanging="266"/>
        <w:textAlignment w:val="auto"/>
        <w:rPr>
          <w:noProof/>
        </w:rPr>
      </w:pPr>
      <w:r w:rsidRPr="00FC2145">
        <w:rPr>
          <w:noProof/>
        </w:rPr>
        <w:t>Data indicate</w:t>
      </w:r>
      <w:r w:rsidR="00B21BC2" w:rsidRPr="00FC2145">
        <w:rPr>
          <w:noProof/>
        </w:rPr>
        <w:t>d</w:t>
      </w:r>
      <w:r w:rsidRPr="00FC2145">
        <w:rPr>
          <w:noProof/>
        </w:rPr>
        <w:t xml:space="preserve"> that  there where 40 operating hatcheries in Palestine during year 2019, the number of eggs prepared for hatching was</w:t>
      </w:r>
      <w:r w:rsidR="00B21BC2" w:rsidRPr="00FC2145">
        <w:rPr>
          <w:rFonts w:ascii="Simplified Arabic" w:hAnsi="Simplified Arabic"/>
        </w:rPr>
        <w:t xml:space="preserve"> </w:t>
      </w:r>
      <w:r w:rsidRPr="00FC2145">
        <w:rPr>
          <w:rFonts w:ascii="Simplified Arabic" w:hAnsi="Simplified Arabic"/>
        </w:rPr>
        <w:t>95</w:t>
      </w:r>
      <w:r w:rsidR="00C46BE6">
        <w:rPr>
          <w:rFonts w:ascii="Simplified Arabic" w:hAnsi="Simplified Arabic"/>
        </w:rPr>
        <w:t>.8</w:t>
      </w:r>
      <w:r w:rsidRPr="00FC2145">
        <w:rPr>
          <w:rFonts w:ascii="Simplified Arabic" w:hAnsi="Simplified Arabic" w:hint="cs"/>
          <w:rtl/>
        </w:rPr>
        <w:t xml:space="preserve"> </w:t>
      </w:r>
      <w:r w:rsidR="00C46BE6">
        <w:rPr>
          <w:noProof/>
        </w:rPr>
        <w:t>million</w:t>
      </w:r>
      <w:r w:rsidRPr="00FC2145">
        <w:rPr>
          <w:noProof/>
        </w:rPr>
        <w:t xml:space="preserve"> eggs for the production of broilers chicks and </w:t>
      </w:r>
      <w:r w:rsidRPr="00FC2145">
        <w:rPr>
          <w:rFonts w:ascii="Simplified Arabic" w:hAnsi="Simplified Arabic"/>
        </w:rPr>
        <w:t xml:space="preserve">737 </w:t>
      </w:r>
      <w:r w:rsidRPr="00FC2145">
        <w:rPr>
          <w:noProof/>
        </w:rPr>
        <w:t>thousand eggs prepared for the production of layers chicks</w:t>
      </w:r>
      <w:r w:rsidR="00C41B5B" w:rsidRPr="00FC2145">
        <w:rPr>
          <w:noProof/>
        </w:rPr>
        <w:t xml:space="preserve"> in </w:t>
      </w:r>
      <w:r w:rsidR="00DF50E7" w:rsidRPr="00FC2145">
        <w:rPr>
          <w:noProof/>
        </w:rPr>
        <w:t>G</w:t>
      </w:r>
      <w:r w:rsidR="00C41B5B" w:rsidRPr="00FC2145">
        <w:rPr>
          <w:noProof/>
        </w:rPr>
        <w:t>aza Strip.</w:t>
      </w:r>
      <w:r w:rsidRPr="00FC2145">
        <w:rPr>
          <w:noProof/>
        </w:rPr>
        <w:t xml:space="preserve"> </w:t>
      </w:r>
    </w:p>
    <w:p w:rsidR="00240C22" w:rsidRPr="00FC2145" w:rsidRDefault="00240C22" w:rsidP="00B21BC2">
      <w:pPr>
        <w:pStyle w:val="BodyText2"/>
        <w:numPr>
          <w:ilvl w:val="0"/>
          <w:numId w:val="2"/>
        </w:numPr>
        <w:overflowPunct/>
        <w:autoSpaceDE/>
        <w:autoSpaceDN/>
        <w:adjustRightInd/>
        <w:ind w:left="266" w:hanging="266"/>
        <w:textAlignment w:val="auto"/>
        <w:rPr>
          <w:noProof/>
        </w:rPr>
      </w:pPr>
      <w:r w:rsidRPr="00FC2145">
        <w:rPr>
          <w:noProof/>
        </w:rPr>
        <w:t>The number of operating agricultural cooperative societies in Palestine was 159. A</w:t>
      </w:r>
      <w:r w:rsidR="00B21BC2" w:rsidRPr="00FC2145">
        <w:rPr>
          <w:noProof/>
        </w:rPr>
        <w:t xml:space="preserve">s for </w:t>
      </w:r>
      <w:r w:rsidRPr="00FC2145">
        <w:rPr>
          <w:noProof/>
        </w:rPr>
        <w:t>activity</w:t>
      </w:r>
      <w:r w:rsidR="00B21BC2" w:rsidRPr="00FC2145">
        <w:rPr>
          <w:noProof/>
        </w:rPr>
        <w:t>,</w:t>
      </w:r>
      <w:r w:rsidRPr="00FC2145">
        <w:rPr>
          <w:noProof/>
        </w:rPr>
        <w:t xml:space="preserve"> there were 69 society focused on agricultural production activity, followed by 38 society focused in livestock and poultry breeding activity in Palestine during year 2019</w:t>
      </w:r>
    </w:p>
    <w:p w:rsidR="00240C22" w:rsidRPr="00FC2145" w:rsidRDefault="00240C22" w:rsidP="00240C22">
      <w:pPr>
        <w:pStyle w:val="BodyText2"/>
        <w:numPr>
          <w:ilvl w:val="0"/>
          <w:numId w:val="2"/>
        </w:numPr>
        <w:overflowPunct/>
        <w:autoSpaceDE/>
        <w:autoSpaceDN/>
        <w:adjustRightInd/>
        <w:ind w:left="266" w:hanging="266"/>
        <w:textAlignment w:val="auto"/>
        <w:rPr>
          <w:noProof/>
        </w:rPr>
      </w:pPr>
      <w:r w:rsidRPr="00FC2145">
        <w:rPr>
          <w:noProof/>
        </w:rPr>
        <w:t xml:space="preserve">There are 3,073 agricultural engineers registered in palestinian agricultural engineers association during 2019, 1,799 </w:t>
      </w:r>
      <w:r w:rsidR="00DF50E7" w:rsidRPr="00FC2145">
        <w:rPr>
          <w:noProof/>
        </w:rPr>
        <w:t xml:space="preserve">agricultural engineers </w:t>
      </w:r>
      <w:r w:rsidRPr="00FC2145">
        <w:rPr>
          <w:noProof/>
        </w:rPr>
        <w:t xml:space="preserve">of them were in the West Bank, and 1,274 </w:t>
      </w:r>
      <w:r w:rsidR="00DF50E7" w:rsidRPr="00FC2145">
        <w:rPr>
          <w:noProof/>
        </w:rPr>
        <w:t xml:space="preserve">agricultural engineers </w:t>
      </w:r>
      <w:r w:rsidRPr="00FC2145">
        <w:rPr>
          <w:noProof/>
        </w:rPr>
        <w:t>in Gaza Strip</w:t>
      </w:r>
    </w:p>
    <w:p w:rsidR="00240C22" w:rsidRPr="00FC2145" w:rsidRDefault="00240C22" w:rsidP="00240C22">
      <w:pPr>
        <w:pStyle w:val="BodyText2"/>
        <w:numPr>
          <w:ilvl w:val="0"/>
          <w:numId w:val="2"/>
        </w:numPr>
        <w:overflowPunct/>
        <w:autoSpaceDE/>
        <w:autoSpaceDN/>
        <w:adjustRightInd/>
        <w:ind w:left="266" w:hanging="266"/>
        <w:textAlignment w:val="auto"/>
        <w:rPr>
          <w:noProof/>
        </w:rPr>
      </w:pPr>
      <w:r w:rsidRPr="00FC2145">
        <w:rPr>
          <w:noProof/>
        </w:rPr>
        <w:lastRenderedPageBreak/>
        <w:t xml:space="preserve">The number of licensed agricultural nurseries were 186 nursery in Palestine during year 2019, of which 136 were in the West Bank and 50 in Gaza Strip, the total area of these nurseries was </w:t>
      </w:r>
      <w:r w:rsidRPr="00FC2145">
        <w:rPr>
          <w:rFonts w:ascii="Simplified Arabic" w:hAnsi="Simplified Arabic"/>
        </w:rPr>
        <w:t>1,219.7</w:t>
      </w:r>
      <w:r w:rsidRPr="00FC2145">
        <w:rPr>
          <w:noProof/>
        </w:rPr>
        <w:t xml:space="preserve"> dunums while the average area of these nursery was 6.56 dunums </w:t>
      </w:r>
    </w:p>
    <w:p w:rsidR="00240C22" w:rsidRPr="00FC2145" w:rsidRDefault="00240C22" w:rsidP="00240C22">
      <w:pPr>
        <w:pStyle w:val="BodyText2"/>
        <w:numPr>
          <w:ilvl w:val="0"/>
          <w:numId w:val="2"/>
        </w:numPr>
        <w:overflowPunct/>
        <w:autoSpaceDE/>
        <w:autoSpaceDN/>
        <w:adjustRightInd/>
        <w:ind w:left="266" w:hanging="266"/>
        <w:textAlignment w:val="auto"/>
        <w:rPr>
          <w:noProof/>
        </w:rPr>
      </w:pPr>
      <w:r w:rsidRPr="00FC2145">
        <w:rPr>
          <w:noProof/>
        </w:rPr>
        <w:t xml:space="preserve">The number of vaccines given to the animals in Palestine were </w:t>
      </w:r>
      <w:r w:rsidRPr="00FC2145">
        <w:rPr>
          <w:rFonts w:ascii="Simplified Arabic" w:hAnsi="Simplified Arabic"/>
          <w:rtl/>
        </w:rPr>
        <w:t>1</w:t>
      </w:r>
      <w:r w:rsidRPr="00FC2145">
        <w:rPr>
          <w:rFonts w:ascii="Simplified Arabic" w:hAnsi="Simplified Arabic" w:hint="cs"/>
          <w:rtl/>
        </w:rPr>
        <w:t>,499,608</w:t>
      </w:r>
      <w:r w:rsidRPr="00FC2145">
        <w:rPr>
          <w:rFonts w:ascii="Simplified Arabic" w:hAnsi="Simplified Arabic"/>
        </w:rPr>
        <w:t xml:space="preserve"> </w:t>
      </w:r>
      <w:r w:rsidRPr="00FC2145">
        <w:rPr>
          <w:noProof/>
        </w:rPr>
        <w:t xml:space="preserve">vaccines during 2019 (of which </w:t>
      </w:r>
      <w:r w:rsidRPr="00FC2145">
        <w:rPr>
          <w:rFonts w:ascii="Simplified Arabic" w:hAnsi="Simplified Arabic"/>
        </w:rPr>
        <w:t>1,477,694</w:t>
      </w:r>
      <w:r w:rsidRPr="00FC2145">
        <w:rPr>
          <w:noProof/>
        </w:rPr>
        <w:t xml:space="preserve"> vaccines in the West Bank, and </w:t>
      </w:r>
      <w:r w:rsidRPr="00FC2145">
        <w:rPr>
          <w:rFonts w:ascii="Simplified Arabic" w:hAnsi="Simplified Arabic"/>
        </w:rPr>
        <w:t xml:space="preserve">21,914 </w:t>
      </w:r>
      <w:r w:rsidRPr="00FC2145">
        <w:rPr>
          <w:noProof/>
        </w:rPr>
        <w:t>vaccines in Gaza Strip)</w:t>
      </w:r>
    </w:p>
    <w:p w:rsidR="00240C22" w:rsidRPr="00FC2145" w:rsidRDefault="00240C22" w:rsidP="00240C22">
      <w:pPr>
        <w:pStyle w:val="BodyText2"/>
        <w:numPr>
          <w:ilvl w:val="0"/>
          <w:numId w:val="2"/>
        </w:numPr>
        <w:overflowPunct/>
        <w:autoSpaceDE/>
        <w:autoSpaceDN/>
        <w:adjustRightInd/>
        <w:ind w:left="266" w:hanging="266"/>
        <w:textAlignment w:val="auto"/>
        <w:rPr>
          <w:noProof/>
          <w:rtl/>
        </w:rPr>
      </w:pPr>
      <w:r w:rsidRPr="00FC2145">
        <w:rPr>
          <w:noProof/>
        </w:rPr>
        <w:t>There are 542 Registered Veterinaries in Veterinaries Association in Palestine during 2019, including 413 veterinarian in the West Bank, and 129 veterinarian in Gaza Strip</w:t>
      </w:r>
    </w:p>
    <w:p w:rsidR="006263A0" w:rsidRPr="00FC2145" w:rsidRDefault="006263A0" w:rsidP="00240C22">
      <w:pPr>
        <w:pStyle w:val="BodyText2"/>
        <w:numPr>
          <w:ilvl w:val="0"/>
          <w:numId w:val="2"/>
        </w:numPr>
        <w:overflowPunct/>
        <w:autoSpaceDE/>
        <w:autoSpaceDN/>
        <w:adjustRightInd/>
        <w:ind w:left="266" w:hanging="266"/>
        <w:textAlignment w:val="auto"/>
        <w:rPr>
          <w:noProof/>
        </w:rPr>
      </w:pPr>
      <w:r w:rsidRPr="00FC2145">
        <w:rPr>
          <w:noProof/>
        </w:rPr>
        <w:t xml:space="preserve">The total quantity of pressed olives in 2019 was 177,610.8 metric tons and the quantity of extracted oil was 39,609.8 metric tons. </w:t>
      </w:r>
    </w:p>
    <w:p w:rsidR="006263A0" w:rsidRPr="00FC2145" w:rsidRDefault="006263A0" w:rsidP="00240C22">
      <w:pPr>
        <w:pStyle w:val="BodyText2"/>
        <w:numPr>
          <w:ilvl w:val="0"/>
          <w:numId w:val="2"/>
        </w:numPr>
        <w:overflowPunct/>
        <w:autoSpaceDE/>
        <w:autoSpaceDN/>
        <w:adjustRightInd/>
        <w:ind w:left="266" w:hanging="266"/>
        <w:textAlignment w:val="auto"/>
        <w:rPr>
          <w:noProof/>
        </w:rPr>
      </w:pPr>
      <w:r w:rsidRPr="00FC2145">
        <w:rPr>
          <w:noProof/>
        </w:rPr>
        <w:t>The value added of olive pressing activity totaled USD 19.1 million, while the intermediate consumption and output of olive presses totaled USD 4.8 million and USD 23.9 million respectively.</w:t>
      </w:r>
    </w:p>
    <w:p w:rsidR="00C0209D" w:rsidRPr="00FC2145" w:rsidRDefault="00C0209D" w:rsidP="00240C22">
      <w:pPr>
        <w:pStyle w:val="ListParagraph"/>
        <w:bidi w:val="0"/>
        <w:ind w:left="0"/>
        <w:jc w:val="lowKashida"/>
        <w:rPr>
          <w:rFonts w:cs="Times New Roman"/>
          <w:i/>
          <w:iCs/>
          <w:sz w:val="20"/>
          <w:u w:val="single"/>
          <w:rtl/>
        </w:rPr>
      </w:pPr>
    </w:p>
    <w:p w:rsidR="00020126" w:rsidRPr="00FC2145" w:rsidRDefault="009C673D" w:rsidP="0085018A">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w:t>
      </w:r>
      <w:r w:rsidR="00D9796F" w:rsidRPr="00FC2145">
        <w:rPr>
          <w:rFonts w:cs="Times New Roman"/>
          <w:b/>
          <w:bCs/>
          <w:i/>
          <w:iCs/>
          <w:sz w:val="18"/>
          <w:szCs w:val="18"/>
          <w:u w:val="single"/>
        </w:rPr>
        <w:t>s</w:t>
      </w:r>
      <w:r w:rsidRPr="00FC2145">
        <w:rPr>
          <w:rFonts w:cs="Times New Roman"/>
          <w:b/>
          <w:bCs/>
          <w:i/>
          <w:iCs/>
          <w:sz w:val="18"/>
          <w:szCs w:val="18"/>
          <w:u w:val="single"/>
        </w:rPr>
        <w:t xml:space="preserve"> </w:t>
      </w:r>
      <w:r w:rsidR="00FA6A6A" w:rsidRPr="00FC2145">
        <w:rPr>
          <w:rFonts w:cs="Times New Roman"/>
          <w:b/>
          <w:bCs/>
          <w:i/>
          <w:iCs/>
          <w:sz w:val="18"/>
          <w:szCs w:val="18"/>
          <w:u w:val="single"/>
        </w:rPr>
        <w:t xml:space="preserve">on </w:t>
      </w:r>
      <w:r w:rsidR="00D9796F" w:rsidRPr="00FC2145">
        <w:rPr>
          <w:rFonts w:cs="Times New Roman"/>
          <w:b/>
          <w:bCs/>
          <w:i/>
          <w:iCs/>
          <w:sz w:val="18"/>
          <w:szCs w:val="18"/>
          <w:u w:val="single"/>
        </w:rPr>
        <w:t>a</w:t>
      </w:r>
      <w:r w:rsidRPr="00FC2145">
        <w:rPr>
          <w:rFonts w:cs="Times New Roman"/>
          <w:b/>
          <w:bCs/>
          <w:i/>
          <w:iCs/>
          <w:sz w:val="18"/>
          <w:szCs w:val="18"/>
          <w:u w:val="single"/>
        </w:rPr>
        <w:t xml:space="preserve">griculture and </w:t>
      </w:r>
      <w:r w:rsidR="00D9796F" w:rsidRPr="00FC2145">
        <w:rPr>
          <w:rFonts w:cs="Times New Roman"/>
          <w:b/>
          <w:bCs/>
          <w:i/>
          <w:iCs/>
          <w:sz w:val="18"/>
          <w:szCs w:val="18"/>
          <w:u w:val="single"/>
        </w:rPr>
        <w:t>l</w:t>
      </w:r>
      <w:r w:rsidRPr="00FC2145">
        <w:rPr>
          <w:rFonts w:cs="Times New Roman"/>
          <w:b/>
          <w:bCs/>
          <w:i/>
          <w:iCs/>
          <w:sz w:val="18"/>
          <w:szCs w:val="18"/>
          <w:u w:val="single"/>
        </w:rPr>
        <w:t xml:space="preserve">and </w:t>
      </w:r>
      <w:r w:rsidR="00D9796F" w:rsidRPr="00FC2145">
        <w:rPr>
          <w:rFonts w:cs="Times New Roman"/>
          <w:b/>
          <w:bCs/>
          <w:i/>
          <w:iCs/>
          <w:sz w:val="18"/>
          <w:szCs w:val="18"/>
          <w:u w:val="single"/>
        </w:rPr>
        <w:t>u</w:t>
      </w:r>
      <w:r w:rsidRPr="00FC2145">
        <w:rPr>
          <w:rFonts w:cs="Times New Roman"/>
          <w:b/>
          <w:bCs/>
          <w:i/>
          <w:iCs/>
          <w:sz w:val="18"/>
          <w:szCs w:val="18"/>
          <w:u w:val="single"/>
        </w:rPr>
        <w:t>se</w:t>
      </w:r>
      <w:r w:rsidR="00D9796F" w:rsidRPr="00FC2145">
        <w:rPr>
          <w:rFonts w:cs="Times New Roman"/>
          <w:b/>
          <w:bCs/>
          <w:i/>
          <w:iCs/>
          <w:sz w:val="18"/>
          <w:szCs w:val="18"/>
          <w:u w:val="single"/>
        </w:rPr>
        <w:t>,</w:t>
      </w:r>
      <w:r w:rsidRPr="00FC2145">
        <w:rPr>
          <w:rFonts w:cs="Times New Roman"/>
          <w:b/>
          <w:bCs/>
          <w:i/>
          <w:iCs/>
          <w:sz w:val="18"/>
          <w:szCs w:val="18"/>
          <w:u w:val="single"/>
        </w:rPr>
        <w:t xml:space="preserve"> </w:t>
      </w:r>
      <w:r w:rsidR="0037009A" w:rsidRPr="00FC2145">
        <w:rPr>
          <w:rFonts w:cs="Times New Roman"/>
          <w:b/>
          <w:bCs/>
          <w:i/>
          <w:iCs/>
          <w:sz w:val="18"/>
          <w:szCs w:val="18"/>
          <w:u w:val="single"/>
        </w:rPr>
        <w:t xml:space="preserve">see </w:t>
      </w:r>
      <w:r w:rsidR="00D9796F" w:rsidRPr="00FC2145">
        <w:rPr>
          <w:rFonts w:cs="Times New Roman"/>
          <w:b/>
          <w:bCs/>
          <w:i/>
          <w:iCs/>
          <w:sz w:val="18"/>
          <w:szCs w:val="18"/>
          <w:u w:val="single"/>
        </w:rPr>
        <w:t xml:space="preserve">the </w:t>
      </w:r>
      <w:r w:rsidR="0037009A" w:rsidRPr="00FC2145">
        <w:rPr>
          <w:rFonts w:cs="Times New Roman"/>
          <w:b/>
          <w:bCs/>
          <w:i/>
          <w:iCs/>
          <w:sz w:val="18"/>
          <w:szCs w:val="18"/>
          <w:u w:val="single"/>
        </w:rPr>
        <w:t xml:space="preserve">tables </w:t>
      </w:r>
      <w:r w:rsidRPr="00FC2145">
        <w:rPr>
          <w:rFonts w:cs="Times New Roman"/>
          <w:b/>
          <w:bCs/>
          <w:i/>
          <w:iCs/>
          <w:sz w:val="18"/>
          <w:szCs w:val="18"/>
          <w:u w:val="single"/>
        </w:rPr>
        <w:t xml:space="preserve">in chapter </w:t>
      </w:r>
      <w:r w:rsidR="00C0209D" w:rsidRPr="00FC2145">
        <w:rPr>
          <w:rFonts w:cs="Times New Roman" w:hint="cs"/>
          <w:b/>
          <w:bCs/>
          <w:i/>
          <w:iCs/>
          <w:sz w:val="18"/>
          <w:szCs w:val="18"/>
          <w:u w:val="single"/>
          <w:rtl/>
        </w:rPr>
        <w:t>1.</w:t>
      </w:r>
      <w:r w:rsidR="00C561F1">
        <w:rPr>
          <w:rFonts w:cs="Times New Roman" w:hint="cs"/>
          <w:b/>
          <w:bCs/>
          <w:i/>
          <w:iCs/>
          <w:sz w:val="18"/>
          <w:szCs w:val="18"/>
          <w:u w:val="single"/>
          <w:rtl/>
        </w:rPr>
        <w:t>9</w:t>
      </w:r>
      <w:r w:rsidRPr="00FC2145">
        <w:rPr>
          <w:rFonts w:cs="Times New Roman"/>
          <w:b/>
          <w:bCs/>
          <w:i/>
          <w:iCs/>
          <w:sz w:val="18"/>
          <w:szCs w:val="18"/>
          <w:u w:val="single"/>
        </w:rPr>
        <w:t xml:space="preserve"> </w:t>
      </w:r>
      <w:r w:rsidR="00D9796F" w:rsidRPr="00FC2145">
        <w:rPr>
          <w:rFonts w:cs="Times New Roman"/>
          <w:b/>
          <w:bCs/>
          <w:i/>
          <w:iCs/>
          <w:sz w:val="18"/>
          <w:szCs w:val="18"/>
          <w:u w:val="single"/>
        </w:rPr>
        <w:t>of the</w:t>
      </w:r>
      <w:r w:rsidRPr="00FC2145">
        <w:rPr>
          <w:rFonts w:cs="Times New Roman"/>
          <w:b/>
          <w:bCs/>
          <w:i/>
          <w:iCs/>
          <w:sz w:val="18"/>
          <w:szCs w:val="18"/>
          <w:u w:val="single"/>
        </w:rPr>
        <w:t xml:space="preserve"> Ar</w:t>
      </w:r>
      <w:r w:rsidR="00D9796F" w:rsidRPr="00FC2145">
        <w:rPr>
          <w:rFonts w:cs="Times New Roman"/>
          <w:b/>
          <w:bCs/>
          <w:i/>
          <w:iCs/>
          <w:sz w:val="18"/>
          <w:szCs w:val="18"/>
          <w:u w:val="single"/>
        </w:rPr>
        <w:t>a</w:t>
      </w:r>
      <w:r w:rsidRPr="00FC2145">
        <w:rPr>
          <w:rFonts w:cs="Times New Roman"/>
          <w:b/>
          <w:bCs/>
          <w:i/>
          <w:iCs/>
          <w:sz w:val="18"/>
          <w:szCs w:val="18"/>
          <w:u w:val="single"/>
        </w:rPr>
        <w:t xml:space="preserve">bic </w:t>
      </w:r>
      <w:r w:rsidR="00D9796F" w:rsidRPr="00FC2145">
        <w:rPr>
          <w:rFonts w:cs="Times New Roman"/>
          <w:b/>
          <w:bCs/>
          <w:i/>
          <w:iCs/>
          <w:sz w:val="18"/>
          <w:szCs w:val="18"/>
          <w:u w:val="single"/>
        </w:rPr>
        <w:t>section, p</w:t>
      </w:r>
      <w:r w:rsidRPr="00FC2145">
        <w:rPr>
          <w:rFonts w:cs="Times New Roman"/>
          <w:b/>
          <w:bCs/>
          <w:i/>
          <w:iCs/>
          <w:sz w:val="18"/>
          <w:szCs w:val="18"/>
          <w:u w:val="single"/>
        </w:rPr>
        <w:t>age</w:t>
      </w:r>
      <w:r w:rsidR="00D9796F" w:rsidRPr="00FC2145">
        <w:rPr>
          <w:rFonts w:cs="Times New Roman"/>
          <w:b/>
          <w:bCs/>
          <w:i/>
          <w:iCs/>
          <w:sz w:val="18"/>
          <w:szCs w:val="18"/>
          <w:u w:val="single"/>
        </w:rPr>
        <w:t>s</w:t>
      </w:r>
      <w:r w:rsidR="006A480D" w:rsidRPr="00FC2145">
        <w:rPr>
          <w:rFonts w:cs="Times New Roman"/>
          <w:b/>
          <w:bCs/>
          <w:i/>
          <w:iCs/>
          <w:sz w:val="18"/>
          <w:szCs w:val="18"/>
          <w:u w:val="single"/>
        </w:rPr>
        <w:t xml:space="preserve"> </w:t>
      </w:r>
      <w:r w:rsidR="00C561F1">
        <w:rPr>
          <w:rFonts w:cs="Times New Roman" w:hint="cs"/>
          <w:b/>
          <w:bCs/>
          <w:i/>
          <w:iCs/>
          <w:sz w:val="18"/>
          <w:szCs w:val="18"/>
          <w:u w:val="single"/>
          <w:rtl/>
        </w:rPr>
        <w:t>95</w:t>
      </w:r>
      <w:r w:rsidR="006A480D" w:rsidRPr="00FC2145">
        <w:rPr>
          <w:rFonts w:cs="Times New Roman"/>
          <w:b/>
          <w:bCs/>
          <w:i/>
          <w:iCs/>
          <w:sz w:val="18"/>
          <w:szCs w:val="18"/>
          <w:u w:val="single"/>
        </w:rPr>
        <w:t>-</w:t>
      </w:r>
      <w:r w:rsidR="00C561F1">
        <w:rPr>
          <w:rFonts w:cs="Times New Roman" w:hint="cs"/>
          <w:b/>
          <w:bCs/>
          <w:i/>
          <w:iCs/>
          <w:sz w:val="18"/>
          <w:szCs w:val="18"/>
          <w:u w:val="single"/>
          <w:rtl/>
        </w:rPr>
        <w:t>10</w:t>
      </w:r>
      <w:r w:rsidR="0085018A">
        <w:rPr>
          <w:rFonts w:cs="Times New Roman"/>
          <w:b/>
          <w:bCs/>
          <w:i/>
          <w:iCs/>
          <w:sz w:val="18"/>
          <w:szCs w:val="18"/>
          <w:u w:val="single"/>
        </w:rPr>
        <w:t>2</w:t>
      </w:r>
      <w:r w:rsidR="00D9796F" w:rsidRPr="00FC2145">
        <w:rPr>
          <w:rFonts w:cs="Times New Roman"/>
          <w:b/>
          <w:bCs/>
          <w:i/>
          <w:iCs/>
          <w:sz w:val="18"/>
          <w:szCs w:val="18"/>
          <w:u w:val="single"/>
        </w:rPr>
        <w:t>.</w:t>
      </w:r>
    </w:p>
    <w:p w:rsidR="00604E41" w:rsidRPr="00FC2145" w:rsidRDefault="00604E41" w:rsidP="00604E41">
      <w:pPr>
        <w:pStyle w:val="ListParagraph"/>
        <w:bidi w:val="0"/>
        <w:ind w:left="0"/>
        <w:jc w:val="lowKashida"/>
        <w:rPr>
          <w:rFonts w:cs="Times New Roman"/>
          <w:b/>
          <w:bCs/>
          <w:i/>
          <w:iCs/>
          <w:sz w:val="18"/>
          <w:szCs w:val="18"/>
          <w:u w:val="single"/>
        </w:rPr>
      </w:pPr>
    </w:p>
    <w:p w:rsidR="001851F6" w:rsidRPr="00FC2145" w:rsidRDefault="001851F6" w:rsidP="001851F6">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 xml:space="preserve">Security and Justice                               </w:t>
      </w:r>
    </w:p>
    <w:p w:rsidR="00E361EC" w:rsidRPr="00FC2145" w:rsidRDefault="00E361EC" w:rsidP="00E361EC">
      <w:pPr>
        <w:pStyle w:val="BodyText2"/>
        <w:numPr>
          <w:ilvl w:val="0"/>
          <w:numId w:val="38"/>
        </w:numPr>
        <w:overflowPunct/>
        <w:autoSpaceDE/>
        <w:autoSpaceDN/>
        <w:adjustRightInd/>
        <w:spacing w:after="120"/>
        <w:textAlignment w:val="auto"/>
        <w:rPr>
          <w:noProof/>
        </w:rPr>
      </w:pPr>
      <w:r w:rsidRPr="00FC2145">
        <w:rPr>
          <w:noProof/>
        </w:rPr>
        <w:t>Criminal offenses reported: There were 26,241 criminal offenses reported in 2020 in the West Bank.</w:t>
      </w:r>
    </w:p>
    <w:p w:rsidR="00E361EC" w:rsidRPr="00FC2145" w:rsidRDefault="00E361EC" w:rsidP="004737FF">
      <w:pPr>
        <w:pStyle w:val="BodyText2"/>
        <w:numPr>
          <w:ilvl w:val="0"/>
          <w:numId w:val="38"/>
        </w:numPr>
        <w:overflowPunct/>
        <w:autoSpaceDE/>
        <w:autoSpaceDN/>
        <w:adjustRightInd/>
        <w:spacing w:after="120"/>
        <w:textAlignment w:val="auto"/>
        <w:rPr>
          <w:noProof/>
        </w:rPr>
      </w:pPr>
      <w:r w:rsidRPr="00FC2145">
        <w:rPr>
          <w:noProof/>
        </w:rPr>
        <w:t>The criminal offenses reported in the West Bank governorates in 2020 included assault (23.6%), Using or Trading Narcotic Drugs (6.6%), harming and immoral offenses (10.7</w:t>
      </w:r>
      <w:r w:rsidRPr="00FC2145">
        <w:rPr>
          <w:noProof/>
          <w:rtl/>
        </w:rPr>
        <w:t>%</w:t>
      </w:r>
      <w:r w:rsidRPr="00FC2145">
        <w:rPr>
          <w:noProof/>
        </w:rPr>
        <w:t>), theft (</w:t>
      </w:r>
      <w:r w:rsidRPr="00FC2145">
        <w:rPr>
          <w:rFonts w:hint="cs"/>
          <w:noProof/>
          <w:rtl/>
        </w:rPr>
        <w:t>11.</w:t>
      </w:r>
      <w:r w:rsidR="004737FF">
        <w:rPr>
          <w:rFonts w:hint="cs"/>
          <w:noProof/>
          <w:rtl/>
        </w:rPr>
        <w:t>1</w:t>
      </w:r>
      <w:r w:rsidRPr="00FC2145">
        <w:rPr>
          <w:noProof/>
          <w:rtl/>
        </w:rPr>
        <w:t>%</w:t>
      </w:r>
      <w:r w:rsidRPr="00FC2145">
        <w:rPr>
          <w:noProof/>
        </w:rPr>
        <w:t>), attack on private and public property (11.2</w:t>
      </w:r>
      <w:r w:rsidRPr="00FC2145">
        <w:rPr>
          <w:noProof/>
          <w:rtl/>
        </w:rPr>
        <w:t>%</w:t>
      </w:r>
      <w:r w:rsidRPr="00FC2145">
        <w:rPr>
          <w:noProof/>
        </w:rPr>
        <w:t>), and the remainder were kidnapping, attempted kidnapping, arson and murder.</w:t>
      </w:r>
    </w:p>
    <w:p w:rsidR="00E361EC" w:rsidRPr="00FC2145" w:rsidRDefault="00E361EC" w:rsidP="00E361EC">
      <w:pPr>
        <w:jc w:val="center"/>
        <w:rPr>
          <w:b/>
          <w:bCs/>
          <w:sz w:val="18"/>
          <w:szCs w:val="18"/>
        </w:rPr>
      </w:pPr>
    </w:p>
    <w:p w:rsidR="00E361EC" w:rsidRPr="00FC2145" w:rsidRDefault="00E361EC" w:rsidP="00E361EC">
      <w:pPr>
        <w:jc w:val="center"/>
        <w:rPr>
          <w:b/>
          <w:bCs/>
          <w:sz w:val="18"/>
          <w:szCs w:val="18"/>
        </w:rPr>
      </w:pPr>
      <w:r w:rsidRPr="00FC2145">
        <w:rPr>
          <w:b/>
          <w:bCs/>
          <w:sz w:val="18"/>
          <w:szCs w:val="18"/>
        </w:rPr>
        <w:t>Number of Reported Criminal Offenses in the West Bank* by Governorate, 2020</w:t>
      </w:r>
    </w:p>
    <w:p w:rsidR="00E361EC" w:rsidRPr="00FC2145" w:rsidRDefault="00E361EC" w:rsidP="00E361EC">
      <w:pPr>
        <w:jc w:val="center"/>
        <w:rPr>
          <w:b/>
          <w:bCs/>
          <w:sz w:val="10"/>
          <w:szCs w:val="10"/>
          <w:rtl/>
        </w:rPr>
      </w:pPr>
    </w:p>
    <w:tbl>
      <w:tblPr>
        <w:tblStyle w:val="TableGrid"/>
        <w:tblW w:w="0" w:type="auto"/>
        <w:tblLook w:val="04A0" w:firstRow="1" w:lastRow="0" w:firstColumn="1" w:lastColumn="0" w:noHBand="0" w:noVBand="1"/>
      </w:tblPr>
      <w:tblGrid>
        <w:gridCol w:w="7361"/>
      </w:tblGrid>
      <w:tr w:rsidR="008A424D" w:rsidRPr="00FC2145" w:rsidTr="00375145">
        <w:tc>
          <w:tcPr>
            <w:tcW w:w="7587" w:type="dxa"/>
          </w:tcPr>
          <w:p w:rsidR="00E361EC" w:rsidRPr="00FC2145" w:rsidRDefault="00E361EC" w:rsidP="00375145">
            <w:pPr>
              <w:pStyle w:val="BodyText2"/>
              <w:jc w:val="center"/>
              <w:rPr>
                <w:sz w:val="16"/>
                <w:szCs w:val="16"/>
                <w:rtl/>
              </w:rPr>
            </w:pPr>
            <w:r w:rsidRPr="00FC2145">
              <w:rPr>
                <w:rFonts w:ascii="Simplified Arabic" w:hAnsi="Simplified Arabic"/>
                <w:b/>
                <w:bCs/>
                <w:noProof/>
                <w:sz w:val="18"/>
                <w:szCs w:val="18"/>
              </w:rPr>
              <w:drawing>
                <wp:inline distT="0" distB="0" distL="0" distR="0" wp14:anchorId="153FF6DE" wp14:editId="51EE51C7">
                  <wp:extent cx="4800600" cy="1835150"/>
                  <wp:effectExtent l="0" t="0" r="0" b="0"/>
                  <wp:docPr id="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E361EC" w:rsidRPr="00FC2145" w:rsidRDefault="00E361EC" w:rsidP="00E361EC">
      <w:pPr>
        <w:tabs>
          <w:tab w:val="right" w:pos="70"/>
        </w:tabs>
        <w:ind w:left="98" w:right="112" w:firstLine="14"/>
        <w:jc w:val="lowKashida"/>
        <w:rPr>
          <w:sz w:val="14"/>
          <w:szCs w:val="14"/>
        </w:rPr>
      </w:pPr>
      <w:r w:rsidRPr="00FC2145">
        <w:rPr>
          <w:sz w:val="14"/>
          <w:szCs w:val="14"/>
        </w:rPr>
        <w:t>*</w:t>
      </w:r>
      <w:r w:rsidRPr="00FC2145">
        <w:rPr>
          <w:rFonts w:ascii="Arial" w:hAnsi="Arial" w:cs="Arial"/>
          <w:sz w:val="14"/>
          <w:szCs w:val="14"/>
        </w:rPr>
        <w:t xml:space="preserve"> Data exclude those parts of </w:t>
      </w:r>
      <w:proofErr w:type="gramStart"/>
      <w:r w:rsidRPr="00FC2145">
        <w:rPr>
          <w:rFonts w:ascii="Arial" w:hAnsi="Arial" w:cs="Arial"/>
          <w:sz w:val="14"/>
          <w:szCs w:val="14"/>
        </w:rPr>
        <w:t>Jerusalem which</w:t>
      </w:r>
      <w:proofErr w:type="gramEnd"/>
      <w:r w:rsidRPr="00FC2145">
        <w:rPr>
          <w:rFonts w:ascii="Arial" w:hAnsi="Arial" w:cs="Arial"/>
          <w:sz w:val="14"/>
          <w:szCs w:val="14"/>
        </w:rPr>
        <w:t xml:space="preserve"> were annexed by Israel Occupation in 1967.</w:t>
      </w:r>
    </w:p>
    <w:p w:rsidR="00E361EC" w:rsidRPr="00FC2145" w:rsidRDefault="00E361EC" w:rsidP="00E361EC">
      <w:pPr>
        <w:pStyle w:val="BodyText"/>
        <w:overflowPunct/>
        <w:autoSpaceDE/>
        <w:autoSpaceDN/>
        <w:adjustRightInd/>
        <w:ind w:left="360"/>
        <w:jc w:val="lowKashida"/>
        <w:textAlignment w:val="auto"/>
        <w:rPr>
          <w:rFonts w:cs="Times New Roman"/>
        </w:rPr>
      </w:pPr>
    </w:p>
    <w:p w:rsidR="00E361EC" w:rsidRPr="00FC2145" w:rsidRDefault="00E361EC" w:rsidP="00E361EC">
      <w:pPr>
        <w:pStyle w:val="BodyText2"/>
        <w:numPr>
          <w:ilvl w:val="0"/>
          <w:numId w:val="39"/>
        </w:numPr>
        <w:overflowPunct/>
        <w:autoSpaceDE/>
        <w:autoSpaceDN/>
        <w:adjustRightInd/>
        <w:spacing w:after="120"/>
        <w:textAlignment w:val="auto"/>
        <w:rPr>
          <w:noProof/>
        </w:rPr>
      </w:pPr>
      <w:r w:rsidRPr="00FC2145">
        <w:rPr>
          <w:noProof/>
        </w:rPr>
        <w:t>Juvenile offenders: There were 1,370 juvenile offenders admitted to reform institutions in Palestine in 2020; 194 in the West Bank and 1,176 in Gaza Strip. The criminal offenses committed by those juveniles comprised 301 cases of assault, 601</w:t>
      </w:r>
      <w:r w:rsidRPr="00FC2145">
        <w:rPr>
          <w:noProof/>
          <w:rtl/>
        </w:rPr>
        <w:t xml:space="preserve"> </w:t>
      </w:r>
      <w:r w:rsidRPr="00FC2145">
        <w:rPr>
          <w:noProof/>
        </w:rPr>
        <w:t>cases of burglary and theft, 44 cases of drugs, and 147 cases of immoral offenses. The remainder criminal offenses were distributed on cases of the property of others and against public order and other crimes.</w:t>
      </w:r>
    </w:p>
    <w:p w:rsidR="00E361EC" w:rsidRPr="00FC2145" w:rsidRDefault="00E361EC" w:rsidP="00E361EC">
      <w:pPr>
        <w:pStyle w:val="BodyText2"/>
        <w:numPr>
          <w:ilvl w:val="0"/>
          <w:numId w:val="40"/>
        </w:numPr>
        <w:overflowPunct/>
        <w:autoSpaceDE/>
        <w:autoSpaceDN/>
        <w:adjustRightInd/>
        <w:textAlignment w:val="auto"/>
        <w:rPr>
          <w:noProof/>
        </w:rPr>
      </w:pPr>
      <w:r w:rsidRPr="00FC2145">
        <w:rPr>
          <w:noProof/>
        </w:rPr>
        <w:lastRenderedPageBreak/>
        <w:t>Road traffic accidents: (Data excludes those parts of Jerusalem which were annexed by Israel Occupation in 1967). Thus,  there were 10,977 road traffic accidents in the West Bank in 2020.</w:t>
      </w:r>
    </w:p>
    <w:p w:rsidR="00E361EC" w:rsidRPr="00FC2145" w:rsidRDefault="00EA425B" w:rsidP="00E361EC">
      <w:pPr>
        <w:pStyle w:val="BodyText2"/>
        <w:numPr>
          <w:ilvl w:val="0"/>
          <w:numId w:val="40"/>
        </w:numPr>
        <w:overflowPunct/>
        <w:autoSpaceDE/>
        <w:autoSpaceDN/>
        <w:adjustRightInd/>
        <w:textAlignment w:val="auto"/>
        <w:rPr>
          <w:noProof/>
        </w:rPr>
      </w:pPr>
      <w:r w:rsidRPr="00FC2145">
        <w:rPr>
          <w:noProof/>
        </w:rPr>
        <w:drawing>
          <wp:anchor distT="0" distB="0" distL="114300" distR="114300" simplePos="0" relativeHeight="251681792" behindDoc="0" locked="0" layoutInCell="1" allowOverlap="1">
            <wp:simplePos x="0" y="0"/>
            <wp:positionH relativeFrom="column">
              <wp:posOffset>241742</wp:posOffset>
            </wp:positionH>
            <wp:positionV relativeFrom="paragraph">
              <wp:posOffset>447040</wp:posOffset>
            </wp:positionV>
            <wp:extent cx="4230094" cy="5228156"/>
            <wp:effectExtent l="19050" t="19050" r="18415" b="1079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ccidents_2021_En.png"/>
                    <pic:cNvPicPr/>
                  </pic:nvPicPr>
                  <pic:blipFill rotWithShape="1">
                    <a:blip r:embed="rId15">
                      <a:extLst>
                        <a:ext uri="{28A0092B-C50C-407E-A947-70E740481C1C}">
                          <a14:useLocalDpi xmlns:a14="http://schemas.microsoft.com/office/drawing/2010/main" val="0"/>
                        </a:ext>
                      </a:extLst>
                    </a:blip>
                    <a:srcRect l="8836" t="12734" r="6214" b="13016"/>
                    <a:stretch/>
                  </pic:blipFill>
                  <pic:spPr bwMode="auto">
                    <a:xfrm>
                      <a:off x="0" y="0"/>
                      <a:ext cx="4230094" cy="5228156"/>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361EC" w:rsidRPr="00FC2145">
        <w:rPr>
          <w:noProof/>
        </w:rPr>
        <w:t>There were 8,629 injuries caused by road accidents as follows: 7,742 mild Injured, 644 moderate Injured, 133 seriously Injured and 110 fatally Injured.</w:t>
      </w:r>
    </w:p>
    <w:p w:rsidR="00EA425B" w:rsidRPr="00FC2145" w:rsidRDefault="00EA425B" w:rsidP="00493687">
      <w:pPr>
        <w:pStyle w:val="BodyText2"/>
        <w:overflowPunct/>
        <w:autoSpaceDE/>
        <w:autoSpaceDN/>
        <w:adjustRightInd/>
        <w:ind w:left="266"/>
        <w:textAlignment w:val="auto"/>
        <w:rPr>
          <w:noProof/>
        </w:rPr>
      </w:pPr>
    </w:p>
    <w:p w:rsidR="00C0209D" w:rsidRPr="00FC2145" w:rsidRDefault="00EE63BF" w:rsidP="00241615">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security and justice, see the tables in chapter 1.</w:t>
      </w:r>
      <w:r w:rsidR="00C561F1">
        <w:rPr>
          <w:rFonts w:cs="Times New Roman"/>
          <w:b/>
          <w:bCs/>
          <w:i/>
          <w:iCs/>
          <w:sz w:val="18"/>
          <w:szCs w:val="18"/>
          <w:u w:val="single"/>
        </w:rPr>
        <w:t>10</w:t>
      </w:r>
      <w:r w:rsidRPr="00FC2145">
        <w:rPr>
          <w:rFonts w:cs="Times New Roman"/>
          <w:b/>
          <w:bCs/>
          <w:i/>
          <w:iCs/>
          <w:sz w:val="18"/>
          <w:szCs w:val="18"/>
          <w:u w:val="single"/>
        </w:rPr>
        <w:t xml:space="preserve"> of the Arabic section, pages</w:t>
      </w:r>
      <w:r w:rsidRPr="00FC2145">
        <w:rPr>
          <w:rFonts w:cs="Times New Roman"/>
          <w:b/>
          <w:bCs/>
          <w:i/>
          <w:iCs/>
          <w:sz w:val="18"/>
          <w:szCs w:val="18"/>
          <w:u w:val="single"/>
          <w:rtl/>
        </w:rPr>
        <w:t xml:space="preserve"> </w:t>
      </w:r>
      <w:r w:rsidR="00C561F1">
        <w:rPr>
          <w:rFonts w:cs="Times New Roman"/>
          <w:b/>
          <w:bCs/>
          <w:i/>
          <w:iCs/>
          <w:sz w:val="18"/>
          <w:szCs w:val="18"/>
          <w:u w:val="single"/>
        </w:rPr>
        <w:t>10</w:t>
      </w:r>
      <w:r w:rsidR="00241615">
        <w:rPr>
          <w:rFonts w:cs="Times New Roman"/>
          <w:b/>
          <w:bCs/>
          <w:i/>
          <w:iCs/>
          <w:sz w:val="18"/>
          <w:szCs w:val="18"/>
          <w:u w:val="single"/>
        </w:rPr>
        <w:t>3</w:t>
      </w:r>
      <w:r w:rsidRPr="00FC2145">
        <w:rPr>
          <w:rFonts w:cs="Times New Roman"/>
          <w:b/>
          <w:bCs/>
          <w:i/>
          <w:iCs/>
          <w:sz w:val="18"/>
          <w:szCs w:val="18"/>
          <w:u w:val="single"/>
        </w:rPr>
        <w:t>-</w:t>
      </w:r>
      <w:r w:rsidR="00C561F1">
        <w:rPr>
          <w:rFonts w:cs="Times New Roman"/>
          <w:b/>
          <w:bCs/>
          <w:i/>
          <w:iCs/>
          <w:sz w:val="18"/>
          <w:szCs w:val="18"/>
          <w:u w:val="single"/>
        </w:rPr>
        <w:t>11</w:t>
      </w:r>
      <w:r w:rsidR="00241615">
        <w:rPr>
          <w:rFonts w:cs="Times New Roman"/>
          <w:b/>
          <w:bCs/>
          <w:i/>
          <w:iCs/>
          <w:sz w:val="18"/>
          <w:szCs w:val="18"/>
          <w:u w:val="single"/>
        </w:rPr>
        <w:t>0</w:t>
      </w:r>
      <w:r w:rsidRPr="00FC2145">
        <w:rPr>
          <w:rFonts w:cs="Times New Roman"/>
          <w:b/>
          <w:bCs/>
          <w:i/>
          <w:iCs/>
          <w:sz w:val="18"/>
          <w:szCs w:val="18"/>
          <w:u w:val="single"/>
        </w:rPr>
        <w:t>.</w:t>
      </w:r>
    </w:p>
    <w:p w:rsidR="00C0209D" w:rsidRPr="00FC2145" w:rsidRDefault="00C0209D" w:rsidP="005A5BFA">
      <w:pPr>
        <w:pStyle w:val="ListParagraph"/>
        <w:bidi w:val="0"/>
        <w:ind w:left="0"/>
        <w:rPr>
          <w:sz w:val="20"/>
          <w:szCs w:val="16"/>
        </w:rPr>
      </w:pPr>
    </w:p>
    <w:p w:rsidR="00EA425B" w:rsidRPr="00FC2145" w:rsidRDefault="00EA425B">
      <w:pPr>
        <w:overflowPunct/>
        <w:autoSpaceDE/>
        <w:autoSpaceDN/>
        <w:adjustRightInd/>
        <w:textAlignment w:val="auto"/>
        <w:rPr>
          <w:rFonts w:cs="Traditional Arabic"/>
          <w:b/>
          <w:bCs/>
          <w:noProof/>
        </w:rPr>
      </w:pPr>
      <w:r w:rsidRPr="00FC2145">
        <w:rPr>
          <w:rFonts w:cs="Traditional Arabic"/>
        </w:rPr>
        <w:br w:type="page"/>
      </w:r>
    </w:p>
    <w:p w:rsidR="00020126" w:rsidRPr="00FC2145" w:rsidRDefault="00020126" w:rsidP="005A5BFA">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lastRenderedPageBreak/>
        <w:t xml:space="preserve">Environment and Natural Resources  </w:t>
      </w:r>
    </w:p>
    <w:p w:rsidR="0026040C" w:rsidRPr="00AA0310" w:rsidRDefault="00AA0310" w:rsidP="005A5BFA">
      <w:pPr>
        <w:pStyle w:val="BodyText2"/>
        <w:numPr>
          <w:ilvl w:val="0"/>
          <w:numId w:val="2"/>
        </w:numPr>
        <w:overflowPunct/>
        <w:autoSpaceDE/>
        <w:autoSpaceDN/>
        <w:adjustRightInd/>
        <w:ind w:left="266" w:hanging="266"/>
        <w:textAlignment w:val="auto"/>
        <w:rPr>
          <w:noProof/>
        </w:rPr>
      </w:pPr>
      <w:r w:rsidRPr="00AA0310">
        <w:rPr>
          <w:noProof/>
        </w:rPr>
        <w:t>The quantity of annual available water in 2019 was 417.9 MCM, of which 289</w:t>
      </w:r>
      <w:r w:rsidR="00AA00F9">
        <w:rPr>
          <w:noProof/>
        </w:rPr>
        <w:t>.0</w:t>
      </w:r>
      <w:r w:rsidRPr="00AA0310">
        <w:rPr>
          <w:noProof/>
        </w:rPr>
        <w:t xml:space="preserve"> MCM was pumped from water pumped from Palestinian wells, 84.2 MCM was purchased from the Israeli Mekorot water company, and 40.6 MCM was discharged from water springs.</w:t>
      </w:r>
    </w:p>
    <w:p w:rsidR="00377785" w:rsidRPr="00FC2145" w:rsidRDefault="00377785" w:rsidP="009E51F9">
      <w:pPr>
        <w:pStyle w:val="BodyText2"/>
        <w:numPr>
          <w:ilvl w:val="0"/>
          <w:numId w:val="2"/>
        </w:numPr>
        <w:overflowPunct/>
        <w:autoSpaceDE/>
        <w:autoSpaceDN/>
        <w:adjustRightInd/>
        <w:ind w:left="266" w:hanging="266"/>
        <w:textAlignment w:val="auto"/>
        <w:rPr>
          <w:noProof/>
        </w:rPr>
      </w:pPr>
      <w:r w:rsidRPr="00FC2145">
        <w:rPr>
          <w:noProof/>
        </w:rPr>
        <w:t xml:space="preserve">The highest amount of annual rainfall in </w:t>
      </w:r>
      <w:r w:rsidR="00F4495C" w:rsidRPr="00FC2145">
        <w:rPr>
          <w:noProof/>
        </w:rPr>
        <w:t>Nablus</w:t>
      </w:r>
      <w:r w:rsidRPr="00FC2145">
        <w:rPr>
          <w:noProof/>
        </w:rPr>
        <w:t xml:space="preserve"> station was </w:t>
      </w:r>
      <w:r w:rsidR="009E51F9">
        <w:rPr>
          <w:noProof/>
        </w:rPr>
        <w:t>849</w:t>
      </w:r>
      <w:r w:rsidRPr="00FC2145">
        <w:rPr>
          <w:noProof/>
        </w:rPr>
        <w:t xml:space="preserve"> (mm) in </w:t>
      </w:r>
      <w:r w:rsidR="009E51F9">
        <w:rPr>
          <w:noProof/>
        </w:rPr>
        <w:t>2020</w:t>
      </w:r>
      <w:r w:rsidRPr="00FC2145">
        <w:rPr>
          <w:noProof/>
        </w:rPr>
        <w:t>.</w:t>
      </w:r>
    </w:p>
    <w:p w:rsidR="00EE63BF" w:rsidRPr="00FC2145" w:rsidRDefault="00EE63BF">
      <w:pPr>
        <w:overflowPunct/>
        <w:autoSpaceDE/>
        <w:autoSpaceDN/>
        <w:adjustRightInd/>
        <w:textAlignment w:val="auto"/>
        <w:rPr>
          <w:b/>
          <w:bCs/>
          <w:sz w:val="18"/>
          <w:szCs w:val="18"/>
        </w:rPr>
      </w:pPr>
    </w:p>
    <w:p w:rsidR="0026040C" w:rsidRPr="00FC2145" w:rsidRDefault="0026040C" w:rsidP="00084978">
      <w:pPr>
        <w:overflowPunct/>
        <w:autoSpaceDE/>
        <w:autoSpaceDN/>
        <w:adjustRightInd/>
        <w:jc w:val="center"/>
        <w:textAlignment w:val="auto"/>
        <w:rPr>
          <w:b/>
          <w:bCs/>
          <w:sz w:val="18"/>
          <w:szCs w:val="18"/>
        </w:rPr>
      </w:pPr>
      <w:r w:rsidRPr="00FC2145">
        <w:rPr>
          <w:b/>
          <w:bCs/>
          <w:sz w:val="18"/>
          <w:szCs w:val="18"/>
        </w:rPr>
        <w:t xml:space="preserve">Annual Rainfall Quantity (mm) in the West Bank by Station Location, </w:t>
      </w:r>
      <w:r w:rsidR="00084978">
        <w:rPr>
          <w:b/>
          <w:bCs/>
          <w:sz w:val="18"/>
          <w:szCs w:val="18"/>
        </w:rPr>
        <w:t>2020</w:t>
      </w:r>
    </w:p>
    <w:p w:rsidR="0026040C" w:rsidRPr="00FC2145" w:rsidRDefault="0026040C" w:rsidP="0026040C">
      <w:pPr>
        <w:pStyle w:val="BodyText3"/>
        <w:jc w:val="center"/>
        <w:rPr>
          <w:rFonts w:ascii="Arial" w:hAnsi="Arial" w:cs="Arial"/>
          <w:sz w:val="10"/>
          <w:szCs w:val="10"/>
          <w:rtl/>
        </w:rPr>
      </w:pPr>
    </w:p>
    <w:tbl>
      <w:tblPr>
        <w:tblStyle w:val="TableGrid"/>
        <w:tblW w:w="0" w:type="auto"/>
        <w:jc w:val="center"/>
        <w:tblLook w:val="04A0" w:firstRow="1" w:lastRow="0" w:firstColumn="1" w:lastColumn="0" w:noHBand="0" w:noVBand="1"/>
      </w:tblPr>
      <w:tblGrid>
        <w:gridCol w:w="7146"/>
      </w:tblGrid>
      <w:tr w:rsidR="005A5BFA" w:rsidRPr="00FC2145" w:rsidTr="00D33180">
        <w:trPr>
          <w:jc w:val="center"/>
        </w:trPr>
        <w:tc>
          <w:tcPr>
            <w:tcW w:w="6769" w:type="dxa"/>
          </w:tcPr>
          <w:p w:rsidR="0026040C" w:rsidRPr="00FC2145" w:rsidRDefault="0026040C" w:rsidP="00D33180">
            <w:pPr>
              <w:pStyle w:val="BodyText3"/>
              <w:jc w:val="center"/>
              <w:rPr>
                <w:rFonts w:asciiTheme="minorBidi" w:hAnsiTheme="minorBidi" w:cstheme="minorBidi"/>
                <w:sz w:val="16"/>
                <w:szCs w:val="14"/>
              </w:rPr>
            </w:pPr>
            <w:r w:rsidRPr="00FC2145">
              <w:rPr>
                <w:rFonts w:asciiTheme="minorBidi" w:hAnsiTheme="minorBidi" w:cstheme="minorBidi"/>
                <w:noProof/>
                <w:sz w:val="16"/>
                <w:szCs w:val="14"/>
              </w:rPr>
              <w:drawing>
                <wp:inline distT="0" distB="0" distL="0" distR="0" wp14:anchorId="418378ED" wp14:editId="6BC2F1AA">
                  <wp:extent cx="4400550" cy="1993900"/>
                  <wp:effectExtent l="0" t="0" r="0" b="0"/>
                  <wp:docPr id="1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26040C" w:rsidRPr="00FC2145" w:rsidRDefault="0026040C" w:rsidP="0026040C">
      <w:pPr>
        <w:pStyle w:val="BodyText2"/>
        <w:overflowPunct/>
        <w:autoSpaceDE/>
        <w:autoSpaceDN/>
        <w:adjustRightInd/>
        <w:spacing w:after="120"/>
        <w:ind w:left="142"/>
        <w:textAlignment w:val="auto"/>
        <w:rPr>
          <w:sz w:val="6"/>
          <w:szCs w:val="6"/>
        </w:rPr>
      </w:pPr>
    </w:p>
    <w:p w:rsidR="0026040C" w:rsidRPr="00FC2145" w:rsidRDefault="0026040C" w:rsidP="004344B9">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the environment and natural resources, see the tables in chapter 1.</w:t>
      </w:r>
      <w:r w:rsidR="00C561F1">
        <w:rPr>
          <w:rFonts w:cs="Times New Roman"/>
          <w:b/>
          <w:bCs/>
          <w:i/>
          <w:iCs/>
          <w:sz w:val="18"/>
          <w:szCs w:val="18"/>
          <w:u w:val="single"/>
        </w:rPr>
        <w:t>11</w:t>
      </w:r>
      <w:r w:rsidRPr="00FC2145">
        <w:rPr>
          <w:rFonts w:cs="Times New Roman"/>
          <w:b/>
          <w:bCs/>
          <w:i/>
          <w:iCs/>
          <w:sz w:val="18"/>
          <w:szCs w:val="18"/>
          <w:u w:val="single"/>
        </w:rPr>
        <w:t xml:space="preserve"> of the Arabic section, pages </w:t>
      </w:r>
      <w:r w:rsidR="00C561F1">
        <w:rPr>
          <w:rFonts w:cs="Times New Roman"/>
          <w:b/>
          <w:bCs/>
          <w:i/>
          <w:iCs/>
          <w:sz w:val="18"/>
          <w:szCs w:val="18"/>
          <w:u w:val="single"/>
        </w:rPr>
        <w:t>11</w:t>
      </w:r>
      <w:r w:rsidR="004344B9">
        <w:rPr>
          <w:rFonts w:cs="Times New Roman"/>
          <w:b/>
          <w:bCs/>
          <w:i/>
          <w:iCs/>
          <w:sz w:val="18"/>
          <w:szCs w:val="18"/>
          <w:u w:val="single"/>
        </w:rPr>
        <w:t>1</w:t>
      </w:r>
      <w:r w:rsidRPr="00FC2145">
        <w:rPr>
          <w:rFonts w:cs="Times New Roman"/>
          <w:b/>
          <w:bCs/>
          <w:i/>
          <w:iCs/>
          <w:sz w:val="18"/>
          <w:szCs w:val="18"/>
          <w:u w:val="single"/>
        </w:rPr>
        <w:t>-</w:t>
      </w:r>
      <w:r w:rsidR="00C561F1">
        <w:rPr>
          <w:rFonts w:cs="Times New Roman"/>
          <w:b/>
          <w:bCs/>
          <w:i/>
          <w:iCs/>
          <w:sz w:val="18"/>
          <w:szCs w:val="18"/>
          <w:u w:val="single"/>
        </w:rPr>
        <w:t>1</w:t>
      </w:r>
      <w:r w:rsidR="004344B9">
        <w:rPr>
          <w:rFonts w:cs="Times New Roman"/>
          <w:b/>
          <w:bCs/>
          <w:i/>
          <w:iCs/>
          <w:sz w:val="18"/>
          <w:szCs w:val="18"/>
          <w:u w:val="single"/>
        </w:rPr>
        <w:t>18</w:t>
      </w:r>
      <w:r w:rsidRPr="00FC2145">
        <w:rPr>
          <w:rFonts w:cs="Times New Roman"/>
          <w:b/>
          <w:bCs/>
          <w:i/>
          <w:iCs/>
          <w:sz w:val="18"/>
          <w:szCs w:val="18"/>
          <w:u w:val="single"/>
        </w:rPr>
        <w:t>.</w:t>
      </w:r>
    </w:p>
    <w:p w:rsidR="0024106F" w:rsidRPr="00FC2145" w:rsidRDefault="0024106F" w:rsidP="0024106F">
      <w:pPr>
        <w:overflowPunct/>
        <w:autoSpaceDE/>
        <w:autoSpaceDN/>
        <w:adjustRightInd/>
        <w:textAlignment w:val="auto"/>
        <w:rPr>
          <w:rFonts w:cs="Traditional Arabic"/>
          <w:b/>
          <w:bCs/>
          <w:noProof/>
          <w:sz w:val="10"/>
          <w:szCs w:val="10"/>
        </w:rPr>
      </w:pPr>
    </w:p>
    <w:p w:rsidR="006868A7" w:rsidRPr="00FC2145" w:rsidRDefault="006868A7">
      <w:pPr>
        <w:overflowPunct/>
        <w:autoSpaceDE/>
        <w:autoSpaceDN/>
        <w:adjustRightInd/>
        <w:textAlignment w:val="auto"/>
        <w:rPr>
          <w:rFonts w:cs="Traditional Arabic"/>
          <w:b/>
          <w:bCs/>
          <w:noProof/>
          <w:sz w:val="10"/>
          <w:szCs w:val="10"/>
        </w:rPr>
      </w:pPr>
    </w:p>
    <w:p w:rsidR="001D0732" w:rsidRPr="00FC2145" w:rsidRDefault="001D0732" w:rsidP="001D0732">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National Accounts</w:t>
      </w:r>
    </w:p>
    <w:p w:rsidR="001D0732" w:rsidRPr="00FC2145" w:rsidRDefault="001D0732" w:rsidP="001D0732">
      <w:pPr>
        <w:pStyle w:val="BodyText2"/>
        <w:numPr>
          <w:ilvl w:val="0"/>
          <w:numId w:val="2"/>
        </w:numPr>
        <w:overflowPunct/>
        <w:autoSpaceDE/>
        <w:autoSpaceDN/>
        <w:adjustRightInd/>
        <w:spacing w:after="120"/>
        <w:textAlignment w:val="auto"/>
        <w:rPr>
          <w:noProof/>
        </w:rPr>
      </w:pPr>
      <w:r w:rsidRPr="00FC2145">
        <w:rPr>
          <w:noProof/>
        </w:rPr>
        <w:t xml:space="preserve">The value of the Gross Domestic Product in 2020 in </w:t>
      </w:r>
      <w:r>
        <w:rPr>
          <w:noProof/>
        </w:rPr>
        <w:t>P</w:t>
      </w:r>
      <w:r w:rsidRPr="00FC2145">
        <w:rPr>
          <w:noProof/>
        </w:rPr>
        <w:t xml:space="preserve">alestine at Constant Prices was USD </w:t>
      </w:r>
      <w:r w:rsidRPr="00646052">
        <w:rPr>
          <w:noProof/>
          <w:rtl/>
        </w:rPr>
        <w:t>14</w:t>
      </w:r>
      <w:r w:rsidRPr="00646052">
        <w:rPr>
          <w:noProof/>
        </w:rPr>
        <w:t>,037.4</w:t>
      </w:r>
      <w:r w:rsidRPr="00FC2145">
        <w:rPr>
          <w:noProof/>
        </w:rPr>
        <w:t xml:space="preserve"> million, with an decrease of 11.</w:t>
      </w:r>
      <w:r>
        <w:rPr>
          <w:noProof/>
        </w:rPr>
        <w:t>3</w:t>
      </w:r>
      <w:r w:rsidRPr="00FC2145">
        <w:rPr>
          <w:noProof/>
        </w:rPr>
        <w:t>% compared with 2019.</w:t>
      </w:r>
    </w:p>
    <w:p w:rsidR="001D0732" w:rsidRPr="00FC2145" w:rsidRDefault="001D0732" w:rsidP="001D0732">
      <w:pPr>
        <w:pStyle w:val="BodyText2"/>
        <w:numPr>
          <w:ilvl w:val="0"/>
          <w:numId w:val="2"/>
        </w:numPr>
        <w:overflowPunct/>
        <w:autoSpaceDE/>
        <w:autoSpaceDN/>
        <w:adjustRightInd/>
        <w:spacing w:after="120"/>
        <w:textAlignment w:val="auto"/>
        <w:rPr>
          <w:noProof/>
        </w:rPr>
      </w:pPr>
      <w:r w:rsidRPr="00FC2145">
        <w:rPr>
          <w:noProof/>
        </w:rPr>
        <w:t xml:space="preserve">GDP per capita at Constant Prices was USD </w:t>
      </w:r>
      <w:r w:rsidRPr="00646052">
        <w:rPr>
          <w:noProof/>
        </w:rPr>
        <w:t>2,922.5</w:t>
      </w:r>
      <w:r w:rsidRPr="00FC2145">
        <w:rPr>
          <w:noProof/>
        </w:rPr>
        <w:t xml:space="preserve">  in 2020, a decrease of 13.</w:t>
      </w:r>
      <w:r>
        <w:rPr>
          <w:noProof/>
        </w:rPr>
        <w:t>4</w:t>
      </w:r>
      <w:r w:rsidRPr="00FC2145">
        <w:rPr>
          <w:noProof/>
        </w:rPr>
        <w:t>% compared with 2019.</w:t>
      </w:r>
    </w:p>
    <w:p w:rsidR="001D0732" w:rsidRPr="00FC2145" w:rsidRDefault="001D0732" w:rsidP="001D0732">
      <w:pPr>
        <w:pStyle w:val="BodyText2"/>
        <w:numPr>
          <w:ilvl w:val="0"/>
          <w:numId w:val="2"/>
        </w:numPr>
        <w:overflowPunct/>
        <w:autoSpaceDE/>
        <w:autoSpaceDN/>
        <w:adjustRightInd/>
        <w:spacing w:after="120"/>
        <w:textAlignment w:val="auto"/>
        <w:rPr>
          <w:noProof/>
        </w:rPr>
      </w:pPr>
      <w:r w:rsidRPr="00FC2145">
        <w:rPr>
          <w:noProof/>
        </w:rPr>
        <w:t xml:space="preserve">Gross national income totaled USD </w:t>
      </w:r>
      <w:r w:rsidRPr="00646052">
        <w:rPr>
          <w:noProof/>
        </w:rPr>
        <w:t>16,032.7</w:t>
      </w:r>
      <w:r w:rsidRPr="00FC2145">
        <w:rPr>
          <w:noProof/>
        </w:rPr>
        <w:t xml:space="preserve">  million in 2020 at Constant Prices, GNI per capita was USD </w:t>
      </w:r>
      <w:r w:rsidRPr="00646052">
        <w:rPr>
          <w:noProof/>
        </w:rPr>
        <w:t>3,337.9</w:t>
      </w:r>
      <w:r w:rsidRPr="00FC2145">
        <w:rPr>
          <w:noProof/>
        </w:rPr>
        <w:t xml:space="preserve"> in the same year.</w:t>
      </w:r>
    </w:p>
    <w:p w:rsidR="001D0732" w:rsidRPr="00FC2145" w:rsidRDefault="001D0732" w:rsidP="001D0732">
      <w:pPr>
        <w:pStyle w:val="BodyText2"/>
        <w:numPr>
          <w:ilvl w:val="0"/>
          <w:numId w:val="2"/>
        </w:numPr>
        <w:overflowPunct/>
        <w:autoSpaceDE/>
        <w:autoSpaceDN/>
        <w:adjustRightInd/>
        <w:spacing w:after="120"/>
        <w:textAlignment w:val="auto"/>
        <w:rPr>
          <w:noProof/>
        </w:rPr>
      </w:pPr>
      <w:r w:rsidRPr="00FC2145">
        <w:rPr>
          <w:noProof/>
        </w:rPr>
        <w:t xml:space="preserve">Gross disposable income totaled USD </w:t>
      </w:r>
      <w:r w:rsidRPr="00646052">
        <w:rPr>
          <w:noProof/>
        </w:rPr>
        <w:t>17,173.2</w:t>
      </w:r>
      <w:r w:rsidRPr="00FC2145">
        <w:rPr>
          <w:noProof/>
        </w:rPr>
        <w:t xml:space="preserve"> million in 2020 at Constant Prices, GNDI per capita was USD </w:t>
      </w:r>
      <w:r w:rsidRPr="00646052">
        <w:rPr>
          <w:noProof/>
        </w:rPr>
        <w:t>3,575.3</w:t>
      </w:r>
      <w:r w:rsidRPr="00FC2145">
        <w:rPr>
          <w:noProof/>
        </w:rPr>
        <w:t xml:space="preserve"> in 2020.</w:t>
      </w:r>
    </w:p>
    <w:p w:rsidR="001D0732" w:rsidRDefault="001D0732" w:rsidP="001D0732">
      <w:pPr>
        <w:overflowPunct/>
        <w:autoSpaceDE/>
        <w:autoSpaceDN/>
        <w:adjustRightInd/>
        <w:textAlignment w:val="auto"/>
        <w:rPr>
          <w:rFonts w:cs="Traditional Arabic"/>
          <w:b/>
          <w:bCs/>
        </w:rPr>
      </w:pPr>
      <w:r>
        <w:rPr>
          <w:rFonts w:cs="Traditional Arabic"/>
          <w:b/>
          <w:bCs/>
        </w:rPr>
        <w:br w:type="page"/>
      </w:r>
    </w:p>
    <w:p w:rsidR="001D0732" w:rsidRPr="00FC2145" w:rsidRDefault="001D0732" w:rsidP="001D0732">
      <w:pPr>
        <w:ind w:left="360"/>
        <w:jc w:val="center"/>
        <w:rPr>
          <w:rFonts w:cs="Traditional Arabic"/>
          <w:b/>
          <w:bCs/>
        </w:rPr>
      </w:pPr>
      <w:r w:rsidRPr="00FC2145">
        <w:rPr>
          <w:rFonts w:cs="Traditional Arabic"/>
          <w:b/>
          <w:bCs/>
        </w:rPr>
        <w:lastRenderedPageBreak/>
        <w:t>Gross Domestic Product (GDP) in Palestine at Constant Prices by Region</w:t>
      </w:r>
    </w:p>
    <w:p w:rsidR="001D0732" w:rsidRPr="00FC2145" w:rsidRDefault="001D0732" w:rsidP="001D0732">
      <w:pPr>
        <w:ind w:left="360"/>
        <w:jc w:val="center"/>
        <w:rPr>
          <w:rFonts w:cs="Traditional Arabic"/>
          <w:b/>
          <w:bCs/>
        </w:rPr>
      </w:pPr>
      <w:r w:rsidRPr="00FC2145">
        <w:rPr>
          <w:rFonts w:cs="Traditional Arabic"/>
          <w:b/>
          <w:bCs/>
        </w:rPr>
        <w:t>(Value in USD Billion), 2018-2020</w:t>
      </w:r>
    </w:p>
    <w:p w:rsidR="001D0732" w:rsidRPr="00FC2145" w:rsidRDefault="001D0732" w:rsidP="001D0732">
      <w:pPr>
        <w:ind w:left="360"/>
        <w:jc w:val="center"/>
        <w:rPr>
          <w:rFonts w:cs="Traditional Arabic"/>
          <w:b/>
          <w:bCs/>
          <w:sz w:val="10"/>
          <w:szCs w:val="10"/>
        </w:rPr>
      </w:pPr>
    </w:p>
    <w:tbl>
      <w:tblPr>
        <w:tblStyle w:val="TableGrid"/>
        <w:tblW w:w="0" w:type="auto"/>
        <w:tblLook w:val="04A0" w:firstRow="1" w:lastRow="0" w:firstColumn="1" w:lastColumn="0" w:noHBand="0" w:noVBand="1"/>
      </w:tblPr>
      <w:tblGrid>
        <w:gridCol w:w="7361"/>
      </w:tblGrid>
      <w:tr w:rsidR="001D0732" w:rsidRPr="00FC2145" w:rsidTr="00194B0A">
        <w:tc>
          <w:tcPr>
            <w:tcW w:w="7587" w:type="dxa"/>
          </w:tcPr>
          <w:p w:rsidR="001D0732" w:rsidRPr="00FC2145" w:rsidRDefault="001D0732" w:rsidP="00194B0A">
            <w:pPr>
              <w:pStyle w:val="ListParagraph"/>
              <w:bidi w:val="0"/>
              <w:ind w:left="0"/>
              <w:jc w:val="center"/>
              <w:rPr>
                <w:rFonts w:cs="Traditional Arabic"/>
                <w:noProof w:val="0"/>
                <w:sz w:val="20"/>
              </w:rPr>
            </w:pPr>
            <w:r w:rsidRPr="00FC2145">
              <w:rPr>
                <w:rFonts w:cs="Traditional Arabic"/>
                <w:sz w:val="20"/>
              </w:rPr>
              <w:drawing>
                <wp:inline distT="0" distB="0" distL="0" distR="0" wp14:anchorId="407B2A86" wp14:editId="501B38C3">
                  <wp:extent cx="4473515" cy="1639019"/>
                  <wp:effectExtent l="0" t="0" r="0" b="0"/>
                  <wp:docPr id="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1D0732" w:rsidRPr="00FC2145" w:rsidRDefault="001D0732" w:rsidP="001D0732">
      <w:pPr>
        <w:pStyle w:val="ListParagraph"/>
        <w:bidi w:val="0"/>
        <w:ind w:left="0"/>
        <w:jc w:val="lowKashida"/>
        <w:rPr>
          <w:rFonts w:ascii="Arial" w:hAnsi="Arial"/>
          <w:snapToGrid w:val="0"/>
          <w:sz w:val="16"/>
          <w:szCs w:val="16"/>
        </w:rPr>
      </w:pPr>
      <w:r w:rsidRPr="00FC2145">
        <w:rPr>
          <w:rFonts w:ascii="Arial" w:hAnsi="Arial"/>
          <w:sz w:val="16"/>
          <w:szCs w:val="16"/>
        </w:rPr>
        <w:t>-: The data excluded those parts of Jerusalem which were annexed by Israeli Occupation in 1967.</w:t>
      </w:r>
    </w:p>
    <w:p w:rsidR="001D0732" w:rsidRPr="00FC2145" w:rsidRDefault="001D0732" w:rsidP="001D0732">
      <w:pPr>
        <w:pStyle w:val="ListParagraph"/>
        <w:bidi w:val="0"/>
        <w:ind w:left="0"/>
        <w:jc w:val="lowKashida"/>
        <w:rPr>
          <w:rFonts w:ascii="Arial" w:hAnsi="Arial"/>
          <w:snapToGrid w:val="0"/>
          <w:sz w:val="16"/>
          <w:szCs w:val="16"/>
        </w:rPr>
      </w:pPr>
      <w:r w:rsidRPr="00FC2145">
        <w:rPr>
          <w:rFonts w:ascii="Arial" w:hAnsi="Arial"/>
          <w:snapToGrid w:val="0"/>
          <w:sz w:val="16"/>
          <w:szCs w:val="16"/>
        </w:rPr>
        <w:t xml:space="preserve">     Note: 2015 is the base year.</w:t>
      </w:r>
    </w:p>
    <w:p w:rsidR="00971562" w:rsidRPr="00FC2145" w:rsidRDefault="00971562" w:rsidP="00971562">
      <w:pPr>
        <w:pStyle w:val="ListParagraph"/>
        <w:bidi w:val="0"/>
        <w:ind w:left="0"/>
        <w:jc w:val="lowKashida"/>
        <w:rPr>
          <w:rFonts w:cs="Times New Roman"/>
          <w:b/>
          <w:bCs/>
          <w:i/>
          <w:iCs/>
          <w:sz w:val="18"/>
          <w:szCs w:val="18"/>
          <w:u w:val="single"/>
        </w:rPr>
      </w:pPr>
    </w:p>
    <w:p w:rsidR="00971562" w:rsidRPr="00FC2145" w:rsidRDefault="00971562" w:rsidP="00714094">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national accounts, see the tables in chapter 1.</w:t>
      </w:r>
      <w:r w:rsidR="00714094">
        <w:rPr>
          <w:rFonts w:cs="Times New Roman"/>
          <w:b/>
          <w:bCs/>
          <w:i/>
          <w:iCs/>
          <w:sz w:val="18"/>
          <w:szCs w:val="18"/>
          <w:u w:val="single"/>
        </w:rPr>
        <w:t>12</w:t>
      </w:r>
      <w:r w:rsidRPr="00FC2145">
        <w:rPr>
          <w:rFonts w:cs="Times New Roman"/>
          <w:b/>
          <w:bCs/>
          <w:i/>
          <w:iCs/>
          <w:sz w:val="18"/>
          <w:szCs w:val="18"/>
          <w:u w:val="single"/>
        </w:rPr>
        <w:t xml:space="preserve"> of the Arabic section, pages </w:t>
      </w:r>
      <w:r w:rsidR="00714094">
        <w:rPr>
          <w:rFonts w:cs="Times New Roman"/>
          <w:b/>
          <w:bCs/>
          <w:i/>
          <w:iCs/>
          <w:sz w:val="18"/>
          <w:szCs w:val="18"/>
          <w:u w:val="single"/>
        </w:rPr>
        <w:t>119</w:t>
      </w:r>
      <w:r w:rsidRPr="00FC2145">
        <w:rPr>
          <w:rFonts w:cs="Times New Roman"/>
          <w:b/>
          <w:bCs/>
          <w:i/>
          <w:iCs/>
          <w:sz w:val="18"/>
          <w:szCs w:val="18"/>
          <w:u w:val="single"/>
        </w:rPr>
        <w:t>-</w:t>
      </w:r>
      <w:r w:rsidR="00714094">
        <w:rPr>
          <w:rFonts w:cs="Times New Roman"/>
          <w:b/>
          <w:bCs/>
          <w:i/>
          <w:iCs/>
          <w:sz w:val="18"/>
          <w:szCs w:val="18"/>
          <w:u w:val="single"/>
        </w:rPr>
        <w:t>126</w:t>
      </w:r>
      <w:r w:rsidRPr="00FC2145">
        <w:rPr>
          <w:rFonts w:cs="Times New Roman"/>
          <w:b/>
          <w:bCs/>
          <w:i/>
          <w:iCs/>
          <w:sz w:val="18"/>
          <w:szCs w:val="18"/>
          <w:u w:val="single"/>
        </w:rPr>
        <w:t>.</w:t>
      </w:r>
    </w:p>
    <w:p w:rsidR="00971562" w:rsidRPr="00FC2145" w:rsidRDefault="00971562" w:rsidP="00971562">
      <w:pPr>
        <w:pStyle w:val="Title"/>
        <w:bidi w:val="0"/>
        <w:jc w:val="left"/>
        <w:rPr>
          <w:rFonts w:cs="Times New Roman"/>
          <w:b w:val="0"/>
          <w:bCs w:val="0"/>
          <w:i/>
          <w:iCs/>
          <w:noProof w:val="0"/>
          <w:sz w:val="20"/>
          <w:szCs w:val="20"/>
          <w:u w:val="single"/>
        </w:rPr>
      </w:pPr>
    </w:p>
    <w:p w:rsidR="00971562" w:rsidRPr="00FC2145" w:rsidRDefault="00971562" w:rsidP="00971562">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 xml:space="preserve">Prices and Price Indices </w:t>
      </w:r>
    </w:p>
    <w:p w:rsidR="00971562" w:rsidRPr="00FC2145" w:rsidRDefault="00714094" w:rsidP="00307E71">
      <w:pPr>
        <w:pStyle w:val="Title"/>
        <w:bidi w:val="0"/>
        <w:ind w:left="-210" w:firstLine="210"/>
        <w:jc w:val="left"/>
        <w:rPr>
          <w:rFonts w:cs="Traditional Arabic"/>
          <w:sz w:val="20"/>
          <w:szCs w:val="20"/>
        </w:rPr>
      </w:pPr>
      <w:r>
        <w:rPr>
          <w:rFonts w:cs="Traditional Arabic"/>
          <w:sz w:val="20"/>
          <w:szCs w:val="20"/>
        </w:rPr>
        <w:t>13</w:t>
      </w:r>
      <w:r w:rsidR="00971562" w:rsidRPr="00FC2145">
        <w:rPr>
          <w:rFonts w:cs="Traditional Arabic"/>
          <w:sz w:val="20"/>
          <w:szCs w:val="20"/>
        </w:rPr>
        <w:t xml:space="preserve">.1 Changes in Consumer Price Indices in 2020 compared with 2019: </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The Consumer Price Index in Palestine decreased by -0.73%.</w:t>
      </w:r>
    </w:p>
    <w:p w:rsidR="003A5309" w:rsidRPr="00FC2145" w:rsidRDefault="003A5309" w:rsidP="003A5309">
      <w:pPr>
        <w:pStyle w:val="BodyText2"/>
        <w:numPr>
          <w:ilvl w:val="0"/>
          <w:numId w:val="2"/>
        </w:numPr>
        <w:overflowPunct/>
        <w:autoSpaceDE/>
        <w:autoSpaceDN/>
        <w:adjustRightInd/>
        <w:spacing w:after="120"/>
        <w:ind w:left="266" w:hanging="266"/>
        <w:textAlignment w:val="auto"/>
        <w:rPr>
          <w:noProof/>
        </w:rPr>
      </w:pPr>
      <w:r w:rsidRPr="00FC2145">
        <w:rPr>
          <w:noProof/>
        </w:rPr>
        <w:t>The Consumer Price Index in the West Bank decreased by -0.90%.</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The Consumer Price Index in Gaza Strip decreased by -0.52%.</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The Consumer Price Index in Jerusalem J1 increased by 0.74%.</w:t>
      </w:r>
    </w:p>
    <w:p w:rsidR="00971562" w:rsidRPr="00FC2145" w:rsidRDefault="00971562" w:rsidP="00971562">
      <w:pPr>
        <w:overflowPunct/>
        <w:autoSpaceDE/>
        <w:autoSpaceDN/>
        <w:adjustRightInd/>
        <w:textAlignment w:val="auto"/>
        <w:rPr>
          <w:rFonts w:cs="Traditional Arabic"/>
          <w:b/>
          <w:bCs/>
          <w:noProof/>
        </w:rPr>
      </w:pPr>
    </w:p>
    <w:p w:rsidR="00971562" w:rsidRPr="00FC2145" w:rsidRDefault="00714094" w:rsidP="00AA00F9">
      <w:pPr>
        <w:pStyle w:val="Title"/>
        <w:bidi w:val="0"/>
        <w:ind w:left="-210" w:firstLine="210"/>
        <w:jc w:val="left"/>
        <w:rPr>
          <w:rFonts w:cs="Traditional Arabic"/>
          <w:sz w:val="20"/>
          <w:szCs w:val="20"/>
        </w:rPr>
      </w:pPr>
      <w:r>
        <w:rPr>
          <w:rFonts w:cs="Traditional Arabic"/>
          <w:sz w:val="20"/>
          <w:szCs w:val="20"/>
        </w:rPr>
        <w:t>13</w:t>
      </w:r>
      <w:r w:rsidR="00971562" w:rsidRPr="00FC2145">
        <w:rPr>
          <w:rFonts w:cs="Traditional Arabic"/>
          <w:sz w:val="20"/>
          <w:szCs w:val="20"/>
        </w:rPr>
        <w:t>.2 Changes in Producer Price Indices in 2020 compared with 2019:</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The total Producer Price Index decreased by -4.51%.</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The Producer Price Index for locally consumed products decreased by -4.69%.</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The Producer Price Index for locally exported products decreased by -2.90%.</w:t>
      </w:r>
    </w:p>
    <w:p w:rsidR="00971562" w:rsidRPr="00FC2145" w:rsidRDefault="00714094" w:rsidP="00AA00F9">
      <w:pPr>
        <w:pStyle w:val="Title"/>
        <w:bidi w:val="0"/>
        <w:ind w:left="-210" w:firstLine="210"/>
        <w:jc w:val="left"/>
        <w:rPr>
          <w:rFonts w:cs="Traditional Arabic"/>
          <w:sz w:val="20"/>
          <w:szCs w:val="20"/>
        </w:rPr>
      </w:pPr>
      <w:r>
        <w:rPr>
          <w:rFonts w:cs="Traditional Arabic"/>
          <w:sz w:val="20"/>
          <w:szCs w:val="20"/>
        </w:rPr>
        <w:t>13</w:t>
      </w:r>
      <w:r w:rsidR="00971562" w:rsidRPr="00FC2145">
        <w:rPr>
          <w:rFonts w:cs="Traditional Arabic"/>
          <w:sz w:val="20"/>
          <w:szCs w:val="20"/>
        </w:rPr>
        <w:t>.3 Changes in Wholesale Price Indices in 2020 compared with 2019:</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The total Wholesale Price Index decreased by -0.10%.</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The Wholesale Price Index for local products increased by 0.68%.</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The Wholesale Price Index for imported products decreased by -1.00%.</w:t>
      </w:r>
    </w:p>
    <w:p w:rsidR="00CF654D" w:rsidRPr="00FC2145" w:rsidRDefault="00CF654D" w:rsidP="00CF654D">
      <w:pPr>
        <w:pStyle w:val="ListParagraph"/>
        <w:bidi w:val="0"/>
        <w:ind w:left="0"/>
        <w:jc w:val="lowKashida"/>
        <w:rPr>
          <w:rFonts w:cs="Times New Roman"/>
          <w:i/>
          <w:iCs/>
          <w:sz w:val="20"/>
          <w:u w:val="single"/>
        </w:rPr>
      </w:pPr>
    </w:p>
    <w:p w:rsidR="00CF654D" w:rsidRPr="00FC2145" w:rsidRDefault="00CF654D" w:rsidP="00C3012D">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prices and price indices, see the tables in chapter 1.</w:t>
      </w:r>
      <w:r w:rsidR="00714094">
        <w:rPr>
          <w:rFonts w:cs="Times New Roman"/>
          <w:b/>
          <w:bCs/>
          <w:i/>
          <w:iCs/>
          <w:sz w:val="18"/>
          <w:szCs w:val="18"/>
          <w:u w:val="single"/>
        </w:rPr>
        <w:t>13</w:t>
      </w:r>
      <w:r w:rsidRPr="00FC2145">
        <w:rPr>
          <w:rFonts w:cs="Times New Roman"/>
          <w:b/>
          <w:bCs/>
          <w:i/>
          <w:iCs/>
          <w:sz w:val="18"/>
          <w:szCs w:val="18"/>
          <w:u w:val="single"/>
        </w:rPr>
        <w:t xml:space="preserve"> of the Arabic section, pages</w:t>
      </w:r>
      <w:r w:rsidRPr="00FC2145">
        <w:rPr>
          <w:rFonts w:cs="Times New Roman"/>
          <w:b/>
          <w:bCs/>
          <w:i/>
          <w:iCs/>
          <w:sz w:val="18"/>
          <w:szCs w:val="18"/>
          <w:u w:val="single"/>
          <w:rtl/>
        </w:rPr>
        <w:t xml:space="preserve"> </w:t>
      </w:r>
      <w:r w:rsidR="00714094">
        <w:rPr>
          <w:rFonts w:cs="Times New Roman"/>
          <w:b/>
          <w:bCs/>
          <w:i/>
          <w:iCs/>
          <w:sz w:val="18"/>
          <w:szCs w:val="18"/>
          <w:u w:val="single"/>
        </w:rPr>
        <w:t>127</w:t>
      </w:r>
      <w:r w:rsidRPr="00FC2145">
        <w:rPr>
          <w:rFonts w:cs="Times New Roman"/>
          <w:b/>
          <w:bCs/>
          <w:i/>
          <w:iCs/>
          <w:sz w:val="18"/>
          <w:szCs w:val="18"/>
          <w:u w:val="single"/>
        </w:rPr>
        <w:t>-</w:t>
      </w:r>
      <w:r w:rsidR="00714094">
        <w:rPr>
          <w:rFonts w:cs="Times New Roman"/>
          <w:b/>
          <w:bCs/>
          <w:i/>
          <w:iCs/>
          <w:sz w:val="18"/>
          <w:szCs w:val="18"/>
          <w:u w:val="single"/>
        </w:rPr>
        <w:t>140</w:t>
      </w:r>
    </w:p>
    <w:p w:rsidR="009E41DA" w:rsidRPr="00FC2145" w:rsidRDefault="009E41DA" w:rsidP="009E41DA">
      <w:pPr>
        <w:pStyle w:val="ListParagraph"/>
        <w:bidi w:val="0"/>
        <w:ind w:left="0"/>
        <w:jc w:val="lowKashida"/>
        <w:rPr>
          <w:rFonts w:cs="Times New Roman"/>
          <w:b/>
          <w:bCs/>
          <w:i/>
          <w:iCs/>
          <w:sz w:val="18"/>
          <w:szCs w:val="18"/>
          <w:u w:val="single"/>
        </w:rPr>
      </w:pPr>
    </w:p>
    <w:p w:rsidR="00714094" w:rsidRDefault="00714094">
      <w:pPr>
        <w:overflowPunct/>
        <w:autoSpaceDE/>
        <w:autoSpaceDN/>
        <w:adjustRightInd/>
        <w:textAlignment w:val="auto"/>
        <w:rPr>
          <w:rFonts w:cs="Traditional Arabic"/>
          <w:b/>
          <w:bCs/>
          <w:noProof/>
        </w:rPr>
      </w:pPr>
      <w:r>
        <w:rPr>
          <w:rFonts w:cs="Traditional Arabic"/>
        </w:rPr>
        <w:br w:type="page"/>
      </w:r>
    </w:p>
    <w:p w:rsidR="00AF1104" w:rsidRPr="00FC2145" w:rsidRDefault="00AF1104" w:rsidP="00AF1104">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lastRenderedPageBreak/>
        <w:t>Construction</w:t>
      </w:r>
    </w:p>
    <w:p w:rsidR="00AF1104" w:rsidRPr="00FC2145" w:rsidRDefault="00714094" w:rsidP="00307E71">
      <w:pPr>
        <w:pStyle w:val="Title"/>
        <w:bidi w:val="0"/>
        <w:ind w:left="-210" w:firstLine="210"/>
        <w:jc w:val="left"/>
        <w:rPr>
          <w:rFonts w:cs="Traditional Arabic"/>
          <w:sz w:val="20"/>
          <w:szCs w:val="20"/>
        </w:rPr>
      </w:pPr>
      <w:r>
        <w:rPr>
          <w:rFonts w:cs="Traditional Arabic"/>
          <w:sz w:val="20"/>
          <w:szCs w:val="20"/>
        </w:rPr>
        <w:t>14</w:t>
      </w:r>
      <w:r w:rsidR="00AF1104" w:rsidRPr="00FC2145">
        <w:rPr>
          <w:rFonts w:cs="Traditional Arabic"/>
          <w:sz w:val="20"/>
          <w:szCs w:val="20"/>
        </w:rPr>
        <w:t>.1 Enterprises in Operation</w:t>
      </w:r>
    </w:p>
    <w:p w:rsidR="00B2504B" w:rsidRPr="00FC2145" w:rsidRDefault="00B2504B" w:rsidP="00B2504B">
      <w:pPr>
        <w:numPr>
          <w:ilvl w:val="0"/>
          <w:numId w:val="2"/>
        </w:numPr>
        <w:overflowPunct/>
        <w:autoSpaceDE/>
        <w:autoSpaceDN/>
        <w:adjustRightInd/>
        <w:spacing w:after="120"/>
        <w:ind w:left="266" w:hanging="266"/>
        <w:jc w:val="lowKashida"/>
        <w:textAlignment w:val="auto"/>
        <w:rPr>
          <w:noProof/>
        </w:rPr>
      </w:pPr>
      <w:r w:rsidRPr="00FC2145">
        <w:rPr>
          <w:noProof/>
        </w:rPr>
        <w:t xml:space="preserve">There were 8,860 employed persons in this activity in 2020. </w:t>
      </w:r>
    </w:p>
    <w:p w:rsidR="00874FE8" w:rsidRPr="00FC2145" w:rsidRDefault="00B2504B" w:rsidP="00B2504B">
      <w:pPr>
        <w:numPr>
          <w:ilvl w:val="0"/>
          <w:numId w:val="2"/>
        </w:numPr>
        <w:overflowPunct/>
        <w:autoSpaceDE/>
        <w:autoSpaceDN/>
        <w:adjustRightInd/>
        <w:spacing w:after="120"/>
        <w:ind w:left="266" w:hanging="266"/>
        <w:jc w:val="lowKashida"/>
        <w:textAlignment w:val="auto"/>
        <w:rPr>
          <w:noProof/>
        </w:rPr>
      </w:pPr>
      <w:r w:rsidRPr="00FC2145">
        <w:rPr>
          <w:noProof/>
        </w:rPr>
        <w:t>The value of the enterprises output in the construction activity was USD 221.0 million; intermediate consumption totaled USD 112.3 million; and the value added was USD 108.7</w:t>
      </w:r>
      <w:r w:rsidRPr="00FC2145">
        <w:rPr>
          <w:noProof/>
          <w:rtl/>
        </w:rPr>
        <w:t xml:space="preserve"> </w:t>
      </w:r>
      <w:r w:rsidRPr="00FC2145">
        <w:rPr>
          <w:noProof/>
        </w:rPr>
        <w:t>million in 2020.</w:t>
      </w:r>
    </w:p>
    <w:p w:rsidR="006064E5" w:rsidRPr="00FC2145" w:rsidRDefault="006064E5" w:rsidP="006064E5">
      <w:pPr>
        <w:pStyle w:val="BodyText"/>
        <w:overflowPunct/>
        <w:autoSpaceDE/>
        <w:adjustRightInd/>
        <w:ind w:left="142"/>
        <w:jc w:val="lowKashida"/>
        <w:textAlignment w:val="auto"/>
        <w:rPr>
          <w:sz w:val="10"/>
          <w:szCs w:val="10"/>
          <w:rtl/>
        </w:rPr>
      </w:pPr>
    </w:p>
    <w:p w:rsidR="009E31F7" w:rsidRPr="00FC2145" w:rsidRDefault="00714094" w:rsidP="00307E71">
      <w:pPr>
        <w:pStyle w:val="Title"/>
        <w:bidi w:val="0"/>
        <w:ind w:left="-210" w:firstLine="210"/>
        <w:jc w:val="left"/>
        <w:rPr>
          <w:rFonts w:cs="Traditional Arabic"/>
          <w:sz w:val="20"/>
          <w:szCs w:val="20"/>
        </w:rPr>
      </w:pPr>
      <w:r>
        <w:rPr>
          <w:rFonts w:cs="Traditional Arabic"/>
          <w:sz w:val="20"/>
          <w:szCs w:val="20"/>
        </w:rPr>
        <w:t>14</w:t>
      </w:r>
      <w:r w:rsidR="009E31F7" w:rsidRPr="00FC2145">
        <w:rPr>
          <w:rFonts w:cs="Traditional Arabic"/>
          <w:sz w:val="20"/>
          <w:szCs w:val="20"/>
        </w:rPr>
        <w:t>.2 Building Licenses</w:t>
      </w:r>
    </w:p>
    <w:p w:rsidR="006263A0" w:rsidRPr="00FC2145" w:rsidRDefault="00971562" w:rsidP="006263A0">
      <w:pPr>
        <w:pStyle w:val="BodyText2"/>
        <w:numPr>
          <w:ilvl w:val="0"/>
          <w:numId w:val="2"/>
        </w:numPr>
        <w:overflowPunct/>
        <w:autoSpaceDE/>
        <w:autoSpaceDN/>
        <w:adjustRightInd/>
        <w:spacing w:after="120"/>
        <w:textAlignment w:val="auto"/>
        <w:rPr>
          <w:noProof/>
        </w:rPr>
      </w:pPr>
      <w:bookmarkStart w:id="0" w:name="OLE_LINK12"/>
      <w:r w:rsidRPr="00FC2145">
        <w:rPr>
          <w:noProof/>
        </w:rPr>
        <w:t>The total number of building licenses issued in 2020 decreased by 16.3% and the new dwellings decreased by 19.7% compared with 2019.</w:t>
      </w:r>
      <w:r w:rsidR="006263A0" w:rsidRPr="00FC2145">
        <w:rPr>
          <w:noProof/>
        </w:rPr>
        <w:t xml:space="preserve"> </w:t>
      </w:r>
      <w:bookmarkEnd w:id="0"/>
    </w:p>
    <w:p w:rsidR="006064E5" w:rsidRPr="00FC2145" w:rsidRDefault="006064E5" w:rsidP="00714094">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w:t>
      </w:r>
      <w:r w:rsidR="003C27F3" w:rsidRPr="00FC2145">
        <w:rPr>
          <w:rFonts w:cs="Times New Roman"/>
          <w:b/>
          <w:bCs/>
          <w:i/>
          <w:iCs/>
          <w:sz w:val="18"/>
          <w:szCs w:val="18"/>
          <w:u w:val="single"/>
        </w:rPr>
        <w:t>s</w:t>
      </w:r>
      <w:r w:rsidRPr="00FC2145">
        <w:rPr>
          <w:rFonts w:cs="Times New Roman"/>
          <w:b/>
          <w:bCs/>
          <w:i/>
          <w:iCs/>
          <w:sz w:val="18"/>
          <w:szCs w:val="18"/>
          <w:u w:val="single"/>
        </w:rPr>
        <w:t xml:space="preserve"> on construction, see the tables in chapter 1.</w:t>
      </w:r>
      <w:r w:rsidR="00714094">
        <w:rPr>
          <w:rFonts w:cs="Times New Roman"/>
          <w:b/>
          <w:bCs/>
          <w:i/>
          <w:iCs/>
          <w:sz w:val="18"/>
          <w:szCs w:val="18"/>
          <w:u w:val="single"/>
        </w:rPr>
        <w:t>14</w:t>
      </w:r>
      <w:r w:rsidR="00DF5F9C" w:rsidRPr="00FC2145">
        <w:rPr>
          <w:rFonts w:cs="Times New Roman"/>
          <w:b/>
          <w:bCs/>
          <w:i/>
          <w:iCs/>
          <w:sz w:val="18"/>
          <w:szCs w:val="18"/>
          <w:u w:val="single"/>
        </w:rPr>
        <w:t xml:space="preserve"> </w:t>
      </w:r>
      <w:r w:rsidRPr="00FC2145">
        <w:rPr>
          <w:rFonts w:cs="Times New Roman"/>
          <w:b/>
          <w:bCs/>
          <w:i/>
          <w:iCs/>
          <w:sz w:val="18"/>
          <w:szCs w:val="18"/>
          <w:u w:val="single"/>
        </w:rPr>
        <w:t>of the Arabic section, pages</w:t>
      </w:r>
      <w:r w:rsidRPr="00FC2145">
        <w:rPr>
          <w:rFonts w:cs="Times New Roman"/>
          <w:b/>
          <w:bCs/>
          <w:i/>
          <w:iCs/>
          <w:sz w:val="18"/>
          <w:szCs w:val="18"/>
          <w:u w:val="single"/>
          <w:rtl/>
        </w:rPr>
        <w:t xml:space="preserve"> </w:t>
      </w:r>
      <w:r w:rsidR="00714094">
        <w:rPr>
          <w:rFonts w:cs="Times New Roman"/>
          <w:b/>
          <w:bCs/>
          <w:i/>
          <w:iCs/>
          <w:sz w:val="18"/>
          <w:szCs w:val="18"/>
          <w:u w:val="single"/>
        </w:rPr>
        <w:t>141</w:t>
      </w:r>
      <w:r w:rsidRPr="00FC2145">
        <w:rPr>
          <w:rFonts w:cs="Times New Roman"/>
          <w:b/>
          <w:bCs/>
          <w:i/>
          <w:iCs/>
          <w:sz w:val="18"/>
          <w:szCs w:val="18"/>
          <w:u w:val="single"/>
        </w:rPr>
        <w:t>-</w:t>
      </w:r>
      <w:r w:rsidR="00714094">
        <w:rPr>
          <w:rFonts w:cs="Times New Roman"/>
          <w:b/>
          <w:bCs/>
          <w:i/>
          <w:iCs/>
          <w:sz w:val="18"/>
          <w:szCs w:val="18"/>
          <w:u w:val="single"/>
        </w:rPr>
        <w:t>144</w:t>
      </w:r>
      <w:r w:rsidRPr="00FC2145">
        <w:rPr>
          <w:rFonts w:cs="Times New Roman"/>
          <w:b/>
          <w:bCs/>
          <w:i/>
          <w:iCs/>
          <w:sz w:val="18"/>
          <w:szCs w:val="18"/>
          <w:u w:val="single"/>
        </w:rPr>
        <w:t>.</w:t>
      </w:r>
    </w:p>
    <w:p w:rsidR="006064E5" w:rsidRPr="00FC2145" w:rsidRDefault="006064E5" w:rsidP="006064E5">
      <w:pPr>
        <w:pStyle w:val="BodyText"/>
        <w:overflowPunct/>
        <w:autoSpaceDE/>
        <w:adjustRightInd/>
        <w:ind w:left="142"/>
        <w:jc w:val="lowKashida"/>
        <w:textAlignment w:val="auto"/>
        <w:rPr>
          <w:sz w:val="10"/>
          <w:szCs w:val="10"/>
        </w:rPr>
      </w:pPr>
    </w:p>
    <w:p w:rsidR="006064E5" w:rsidRPr="00FC2145" w:rsidRDefault="006064E5" w:rsidP="006064E5">
      <w:pPr>
        <w:pStyle w:val="BodyText"/>
        <w:overflowPunct/>
        <w:autoSpaceDE/>
        <w:adjustRightInd/>
        <w:ind w:left="142"/>
        <w:jc w:val="lowKashida"/>
        <w:textAlignment w:val="auto"/>
        <w:rPr>
          <w:sz w:val="10"/>
          <w:szCs w:val="10"/>
        </w:rPr>
      </w:pPr>
    </w:p>
    <w:p w:rsidR="00AF1104" w:rsidRPr="00FC2145" w:rsidRDefault="00AF1104" w:rsidP="00AF1104">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 xml:space="preserve">Industry                              </w:t>
      </w:r>
    </w:p>
    <w:p w:rsidR="00B2504B" w:rsidRPr="00FC2145" w:rsidRDefault="00B2504B" w:rsidP="00B2504B">
      <w:pPr>
        <w:pStyle w:val="BodyText2"/>
        <w:numPr>
          <w:ilvl w:val="0"/>
          <w:numId w:val="2"/>
        </w:numPr>
        <w:overflowPunct/>
        <w:autoSpaceDE/>
        <w:autoSpaceDN/>
        <w:adjustRightInd/>
        <w:spacing w:after="120"/>
        <w:textAlignment w:val="auto"/>
        <w:rPr>
          <w:noProof/>
        </w:rPr>
      </w:pPr>
      <w:r w:rsidRPr="00FC2145">
        <w:rPr>
          <w:noProof/>
        </w:rPr>
        <w:t>There were 109,640 employed persons in this activity in 2020.</w:t>
      </w:r>
    </w:p>
    <w:p w:rsidR="00B2504B" w:rsidRPr="00FC2145" w:rsidRDefault="00B2504B" w:rsidP="00B2504B">
      <w:pPr>
        <w:pStyle w:val="BodyText"/>
        <w:overflowPunct/>
        <w:autoSpaceDE/>
        <w:adjustRightInd/>
        <w:ind w:left="142"/>
        <w:jc w:val="lowKashida"/>
        <w:textAlignment w:val="auto"/>
        <w:rPr>
          <w:sz w:val="6"/>
          <w:szCs w:val="6"/>
        </w:rPr>
      </w:pPr>
    </w:p>
    <w:p w:rsidR="00B2504B" w:rsidRPr="00FC2145" w:rsidRDefault="00B2504B" w:rsidP="00B2504B">
      <w:pPr>
        <w:pStyle w:val="BodyText2"/>
        <w:numPr>
          <w:ilvl w:val="0"/>
          <w:numId w:val="2"/>
        </w:numPr>
        <w:overflowPunct/>
        <w:autoSpaceDE/>
        <w:autoSpaceDN/>
        <w:adjustRightInd/>
        <w:spacing w:after="120"/>
        <w:textAlignment w:val="auto"/>
        <w:rPr>
          <w:noProof/>
        </w:rPr>
      </w:pPr>
      <w:r w:rsidRPr="00FC2145">
        <w:rPr>
          <w:noProof/>
        </w:rPr>
        <w:t xml:space="preserve">The value of the enterprises output in industrial activities was USD </w:t>
      </w:r>
      <w:r w:rsidR="005C70F2" w:rsidRPr="00FC2145">
        <w:rPr>
          <w:rFonts w:ascii="Simplified Arabic" w:hAnsi="Simplified Arabic" w:cs="Simplified Arabic"/>
        </w:rPr>
        <w:t>4,459.6</w:t>
      </w:r>
      <w:r w:rsidR="005C70F2" w:rsidRPr="00FC2145">
        <w:rPr>
          <w:noProof/>
        </w:rPr>
        <w:t xml:space="preserve"> </w:t>
      </w:r>
      <w:r w:rsidR="005C70F2" w:rsidRPr="00FC2145">
        <w:rPr>
          <w:rFonts w:hint="cs"/>
          <w:noProof/>
        </w:rPr>
        <w:t>million</w:t>
      </w:r>
      <w:r w:rsidRPr="00FC2145">
        <w:rPr>
          <w:noProof/>
        </w:rPr>
        <w:t xml:space="preserve">, intermediate consumption totaled USD </w:t>
      </w:r>
      <w:r w:rsidRPr="00FC2145">
        <w:rPr>
          <w:rFonts w:ascii="Simplified Arabic" w:hAnsi="Simplified Arabic" w:cs="Simplified Arabic"/>
        </w:rPr>
        <w:t xml:space="preserve">2,282.3 </w:t>
      </w:r>
      <w:r w:rsidRPr="00FC2145">
        <w:rPr>
          <w:noProof/>
        </w:rPr>
        <w:t xml:space="preserve">million, and the value added was USD </w:t>
      </w:r>
      <w:r w:rsidRPr="00FC2145">
        <w:rPr>
          <w:rFonts w:ascii="Simplified Arabic" w:hAnsi="Simplified Arabic" w:cs="Simplified Arabic"/>
        </w:rPr>
        <w:t xml:space="preserve">2,177.3 </w:t>
      </w:r>
      <w:r w:rsidRPr="00FC2145">
        <w:rPr>
          <w:noProof/>
        </w:rPr>
        <w:t>million in 2020.</w:t>
      </w:r>
    </w:p>
    <w:p w:rsidR="00B2504B" w:rsidRPr="00FC2145" w:rsidRDefault="00B2504B" w:rsidP="00714094">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industry, see the tables in chapter 1.</w:t>
      </w:r>
      <w:r w:rsidR="00714094">
        <w:rPr>
          <w:rFonts w:cs="Times New Roman"/>
          <w:b/>
          <w:bCs/>
          <w:i/>
          <w:iCs/>
          <w:sz w:val="18"/>
          <w:szCs w:val="18"/>
          <w:u w:val="single"/>
        </w:rPr>
        <w:t>15</w:t>
      </w:r>
      <w:r w:rsidRPr="00FC2145">
        <w:rPr>
          <w:rFonts w:cs="Times New Roman"/>
          <w:b/>
          <w:bCs/>
          <w:i/>
          <w:iCs/>
          <w:sz w:val="18"/>
          <w:szCs w:val="18"/>
          <w:u w:val="single"/>
        </w:rPr>
        <w:t xml:space="preserve"> of the Arabic section, pages </w:t>
      </w:r>
      <w:r w:rsidR="00714094">
        <w:rPr>
          <w:rFonts w:cs="Times New Roman"/>
          <w:b/>
          <w:bCs/>
          <w:i/>
          <w:iCs/>
          <w:sz w:val="18"/>
          <w:szCs w:val="18"/>
          <w:u w:val="single"/>
        </w:rPr>
        <w:t>145</w:t>
      </w:r>
      <w:r w:rsidRPr="00FC2145">
        <w:rPr>
          <w:rFonts w:cs="Times New Roman"/>
          <w:b/>
          <w:bCs/>
          <w:i/>
          <w:iCs/>
          <w:sz w:val="18"/>
          <w:szCs w:val="18"/>
          <w:u w:val="single"/>
        </w:rPr>
        <w:t>-</w:t>
      </w:r>
      <w:r w:rsidR="00714094">
        <w:rPr>
          <w:rFonts w:cs="Times New Roman"/>
          <w:b/>
          <w:bCs/>
          <w:i/>
          <w:iCs/>
          <w:sz w:val="18"/>
          <w:szCs w:val="18"/>
          <w:u w:val="single"/>
        </w:rPr>
        <w:t>146</w:t>
      </w:r>
      <w:r w:rsidRPr="00FC2145">
        <w:rPr>
          <w:rFonts w:cs="Times New Roman"/>
          <w:b/>
          <w:bCs/>
          <w:i/>
          <w:iCs/>
          <w:sz w:val="18"/>
          <w:szCs w:val="18"/>
          <w:u w:val="single"/>
        </w:rPr>
        <w:t>.</w:t>
      </w:r>
    </w:p>
    <w:p w:rsidR="00B2504B" w:rsidRPr="00FC2145" w:rsidRDefault="00B2504B" w:rsidP="00B2504B">
      <w:pPr>
        <w:pStyle w:val="Title"/>
        <w:tabs>
          <w:tab w:val="right" w:pos="308"/>
        </w:tabs>
        <w:bidi w:val="0"/>
        <w:jc w:val="left"/>
        <w:rPr>
          <w:rFonts w:cs="Traditional Arabic"/>
          <w:sz w:val="20"/>
          <w:szCs w:val="20"/>
        </w:rPr>
      </w:pPr>
    </w:p>
    <w:p w:rsidR="00B2504B" w:rsidRPr="00FC2145" w:rsidRDefault="00B2504B" w:rsidP="00B2504B">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Transport and Commuincation</w:t>
      </w:r>
    </w:p>
    <w:p w:rsidR="00B2504B" w:rsidRPr="00FC2145" w:rsidRDefault="00714094" w:rsidP="00B2504B">
      <w:pPr>
        <w:pStyle w:val="Title"/>
        <w:bidi w:val="0"/>
        <w:ind w:left="-210" w:firstLine="210"/>
        <w:jc w:val="left"/>
        <w:rPr>
          <w:rFonts w:cs="Traditional Arabic"/>
          <w:sz w:val="20"/>
          <w:szCs w:val="20"/>
        </w:rPr>
      </w:pPr>
      <w:r>
        <w:rPr>
          <w:rFonts w:cs="Traditional Arabic"/>
          <w:sz w:val="20"/>
          <w:szCs w:val="20"/>
        </w:rPr>
        <w:t>16</w:t>
      </w:r>
      <w:r w:rsidR="00B2504B" w:rsidRPr="00FC2145">
        <w:rPr>
          <w:rFonts w:cs="Traditional Arabic"/>
          <w:sz w:val="20"/>
          <w:szCs w:val="20"/>
        </w:rPr>
        <w:t xml:space="preserve">.1 Transport and Storage                               </w:t>
      </w:r>
    </w:p>
    <w:p w:rsidR="00B2504B" w:rsidRPr="00FC2145" w:rsidRDefault="00B2504B" w:rsidP="00B2504B">
      <w:pPr>
        <w:numPr>
          <w:ilvl w:val="0"/>
          <w:numId w:val="20"/>
        </w:numPr>
        <w:overflowPunct/>
        <w:autoSpaceDE/>
        <w:adjustRightInd/>
        <w:spacing w:after="120"/>
        <w:ind w:left="266" w:hanging="266"/>
        <w:jc w:val="lowKashida"/>
        <w:textAlignment w:val="auto"/>
        <w:rPr>
          <w:noProof/>
        </w:rPr>
      </w:pPr>
      <w:r w:rsidRPr="00FC2145">
        <w:rPr>
          <w:noProof/>
        </w:rPr>
        <w:t>There were 6,740</w:t>
      </w:r>
      <w:r w:rsidR="00AA00F9">
        <w:rPr>
          <w:noProof/>
        </w:rPr>
        <w:t xml:space="preserve"> </w:t>
      </w:r>
      <w:r w:rsidRPr="00FC2145">
        <w:rPr>
          <w:noProof/>
        </w:rPr>
        <w:t>employed persons in this activity in 2020.</w:t>
      </w:r>
    </w:p>
    <w:p w:rsidR="00B2504B" w:rsidRPr="00FC2145" w:rsidRDefault="00B2504B" w:rsidP="003A5309">
      <w:pPr>
        <w:numPr>
          <w:ilvl w:val="0"/>
          <w:numId w:val="20"/>
        </w:numPr>
        <w:overflowPunct/>
        <w:autoSpaceDE/>
        <w:adjustRightInd/>
        <w:spacing w:after="120"/>
        <w:ind w:left="266" w:hanging="266"/>
        <w:jc w:val="lowKashida"/>
        <w:textAlignment w:val="auto"/>
        <w:rPr>
          <w:noProof/>
        </w:rPr>
      </w:pPr>
      <w:r w:rsidRPr="00FC2145">
        <w:rPr>
          <w:noProof/>
        </w:rPr>
        <w:t>The value of the enterprises output in transport and storage activities was USD 110.8 million; intermediate consumption was USD 32.8 million; and the value added was USD 7</w:t>
      </w:r>
      <w:r w:rsidR="003A5309" w:rsidRPr="00FC2145">
        <w:rPr>
          <w:noProof/>
        </w:rPr>
        <w:t>8</w:t>
      </w:r>
      <w:r w:rsidRPr="00FC2145">
        <w:rPr>
          <w:noProof/>
        </w:rPr>
        <w:t>.</w:t>
      </w:r>
      <w:r w:rsidR="003A5309" w:rsidRPr="00FC2145">
        <w:rPr>
          <w:noProof/>
        </w:rPr>
        <w:t>0</w:t>
      </w:r>
      <w:r w:rsidRPr="00FC2145">
        <w:rPr>
          <w:noProof/>
        </w:rPr>
        <w:t xml:space="preserve"> million in 2020.</w:t>
      </w:r>
    </w:p>
    <w:p w:rsidR="00B2504B" w:rsidRPr="00FC2145" w:rsidRDefault="00B2504B" w:rsidP="00B2504B">
      <w:pPr>
        <w:pStyle w:val="Title"/>
        <w:bidi w:val="0"/>
        <w:ind w:left="-210" w:firstLine="210"/>
        <w:jc w:val="left"/>
        <w:rPr>
          <w:rFonts w:cs="Traditional Arabic"/>
          <w:sz w:val="20"/>
          <w:szCs w:val="20"/>
        </w:rPr>
      </w:pPr>
    </w:p>
    <w:p w:rsidR="00B2504B" w:rsidRPr="00FC2145" w:rsidRDefault="00714094" w:rsidP="00B2504B">
      <w:pPr>
        <w:pStyle w:val="Title"/>
        <w:bidi w:val="0"/>
        <w:ind w:left="-210" w:firstLine="210"/>
        <w:jc w:val="left"/>
        <w:rPr>
          <w:rFonts w:cs="Traditional Arabic"/>
          <w:sz w:val="20"/>
          <w:szCs w:val="20"/>
        </w:rPr>
      </w:pPr>
      <w:r>
        <w:rPr>
          <w:rFonts w:cs="Traditional Arabic"/>
          <w:sz w:val="20"/>
          <w:szCs w:val="20"/>
        </w:rPr>
        <w:t>16</w:t>
      </w:r>
      <w:r w:rsidR="00B2504B" w:rsidRPr="00FC2145">
        <w:rPr>
          <w:rFonts w:cs="Traditional Arabic"/>
          <w:sz w:val="20"/>
          <w:szCs w:val="20"/>
        </w:rPr>
        <w:t>.2 Information and Communications</w:t>
      </w:r>
    </w:p>
    <w:p w:rsidR="00B2504B" w:rsidRPr="00FC2145" w:rsidRDefault="00B2504B" w:rsidP="00B2504B">
      <w:pPr>
        <w:numPr>
          <w:ilvl w:val="0"/>
          <w:numId w:val="20"/>
        </w:numPr>
        <w:overflowPunct/>
        <w:autoSpaceDE/>
        <w:adjustRightInd/>
        <w:spacing w:after="120"/>
        <w:ind w:left="266" w:hanging="266"/>
        <w:jc w:val="lowKashida"/>
        <w:textAlignment w:val="auto"/>
        <w:rPr>
          <w:noProof/>
        </w:rPr>
      </w:pPr>
      <w:r w:rsidRPr="00FC2145">
        <w:rPr>
          <w:noProof/>
        </w:rPr>
        <w:t xml:space="preserve">There were </w:t>
      </w:r>
      <w:r w:rsidRPr="00FC2145">
        <w:rPr>
          <w:rFonts w:ascii="Simplified Arabic" w:hAnsi="Simplified Arabic" w:hint="cs"/>
          <w:rtl/>
        </w:rPr>
        <w:t>8,736</w:t>
      </w:r>
      <w:r w:rsidRPr="00FC2145">
        <w:rPr>
          <w:rFonts w:ascii="Simplified Arabic" w:hAnsi="Simplified Arabic"/>
        </w:rPr>
        <w:t xml:space="preserve"> </w:t>
      </w:r>
      <w:r w:rsidRPr="00FC2145">
        <w:rPr>
          <w:noProof/>
        </w:rPr>
        <w:t>employed persons in this activity in 2020</w:t>
      </w:r>
      <w:r w:rsidRPr="00FC2145">
        <w:rPr>
          <w:rFonts w:hint="cs"/>
          <w:noProof/>
          <w:rtl/>
        </w:rPr>
        <w:t>.</w:t>
      </w:r>
    </w:p>
    <w:p w:rsidR="00874FE8" w:rsidRPr="00FC2145" w:rsidRDefault="00B2504B" w:rsidP="00B2504B">
      <w:pPr>
        <w:numPr>
          <w:ilvl w:val="0"/>
          <w:numId w:val="20"/>
        </w:numPr>
        <w:overflowPunct/>
        <w:autoSpaceDE/>
        <w:adjustRightInd/>
        <w:spacing w:after="120"/>
        <w:ind w:left="266" w:hanging="266"/>
        <w:jc w:val="lowKashida"/>
        <w:textAlignment w:val="auto"/>
        <w:rPr>
          <w:noProof/>
        </w:rPr>
      </w:pPr>
      <w:r w:rsidRPr="00FC2145">
        <w:rPr>
          <w:noProof/>
        </w:rPr>
        <w:t xml:space="preserve">The value of the enterprises output in information and communication activities was USD </w:t>
      </w:r>
      <w:r w:rsidRPr="00FC2145">
        <w:rPr>
          <w:rFonts w:ascii="Simplified Arabic" w:hAnsi="Simplified Arabic" w:hint="cs"/>
          <w:rtl/>
        </w:rPr>
        <w:t>473.3</w:t>
      </w:r>
      <w:r w:rsidRPr="00FC2145">
        <w:rPr>
          <w:noProof/>
        </w:rPr>
        <w:t xml:space="preserve"> million; intermediate consumption was USD </w:t>
      </w:r>
      <w:r w:rsidRPr="00FC2145">
        <w:rPr>
          <w:rFonts w:ascii="Simplified Arabic" w:hAnsi="Simplified Arabic" w:hint="cs"/>
          <w:rtl/>
        </w:rPr>
        <w:t>115.0</w:t>
      </w:r>
      <w:r w:rsidRPr="00FC2145">
        <w:rPr>
          <w:noProof/>
        </w:rPr>
        <w:t xml:space="preserve"> million; and the value added was USD </w:t>
      </w:r>
      <w:r w:rsidRPr="00FC2145">
        <w:rPr>
          <w:rFonts w:ascii="Simplified Arabic" w:hAnsi="Simplified Arabic" w:hint="cs"/>
          <w:rtl/>
        </w:rPr>
        <w:t>358.3</w:t>
      </w:r>
      <w:r w:rsidRPr="00FC2145">
        <w:rPr>
          <w:noProof/>
        </w:rPr>
        <w:t xml:space="preserve"> million in 2020.</w:t>
      </w:r>
    </w:p>
    <w:p w:rsidR="00F126B1" w:rsidRPr="00FC2145" w:rsidRDefault="00F126B1" w:rsidP="00714094">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 xml:space="preserve">For more details on </w:t>
      </w:r>
      <w:r w:rsidR="00980C3D" w:rsidRPr="00FC2145">
        <w:rPr>
          <w:rFonts w:cs="Times New Roman"/>
          <w:b/>
          <w:bCs/>
          <w:i/>
          <w:iCs/>
          <w:sz w:val="18"/>
          <w:szCs w:val="18"/>
          <w:u w:val="single"/>
        </w:rPr>
        <w:t>transport</w:t>
      </w:r>
      <w:r w:rsidR="00D57C6C" w:rsidRPr="00FC2145">
        <w:rPr>
          <w:rFonts w:cs="Times New Roman"/>
          <w:b/>
          <w:bCs/>
          <w:i/>
          <w:iCs/>
          <w:sz w:val="18"/>
          <w:szCs w:val="18"/>
          <w:u w:val="single"/>
        </w:rPr>
        <w:t xml:space="preserve"> and Communications</w:t>
      </w:r>
      <w:r w:rsidRPr="00FC2145">
        <w:rPr>
          <w:rFonts w:cs="Times New Roman"/>
          <w:b/>
          <w:bCs/>
          <w:i/>
          <w:iCs/>
          <w:sz w:val="18"/>
          <w:szCs w:val="18"/>
          <w:u w:val="single"/>
        </w:rPr>
        <w:t>, see the tables in chapter 1.</w:t>
      </w:r>
      <w:r w:rsidR="00714094">
        <w:rPr>
          <w:rFonts w:cs="Times New Roman"/>
          <w:b/>
          <w:bCs/>
          <w:i/>
          <w:iCs/>
          <w:sz w:val="18"/>
          <w:szCs w:val="18"/>
          <w:u w:val="single"/>
        </w:rPr>
        <w:t>16</w:t>
      </w:r>
      <w:r w:rsidRPr="00FC2145">
        <w:rPr>
          <w:rFonts w:cs="Times New Roman"/>
          <w:b/>
          <w:bCs/>
          <w:i/>
          <w:iCs/>
          <w:sz w:val="18"/>
          <w:szCs w:val="18"/>
          <w:u w:val="single"/>
        </w:rPr>
        <w:t xml:space="preserve"> of the Arabic section, pages</w:t>
      </w:r>
      <w:r w:rsidRPr="00FC2145">
        <w:rPr>
          <w:rFonts w:cs="Times New Roman"/>
          <w:b/>
          <w:bCs/>
          <w:i/>
          <w:iCs/>
          <w:sz w:val="18"/>
          <w:szCs w:val="18"/>
          <w:u w:val="single"/>
          <w:rtl/>
        </w:rPr>
        <w:t xml:space="preserve"> </w:t>
      </w:r>
      <w:r w:rsidR="00714094">
        <w:rPr>
          <w:rFonts w:cs="Times New Roman"/>
          <w:b/>
          <w:bCs/>
          <w:i/>
          <w:iCs/>
          <w:sz w:val="18"/>
          <w:szCs w:val="18"/>
          <w:u w:val="single"/>
        </w:rPr>
        <w:t>147</w:t>
      </w:r>
      <w:r w:rsidRPr="00FC2145">
        <w:rPr>
          <w:rFonts w:cs="Times New Roman"/>
          <w:b/>
          <w:bCs/>
          <w:i/>
          <w:iCs/>
          <w:sz w:val="18"/>
          <w:szCs w:val="18"/>
          <w:u w:val="single"/>
        </w:rPr>
        <w:t>-</w:t>
      </w:r>
      <w:r w:rsidR="00714094">
        <w:rPr>
          <w:rFonts w:cs="Times New Roman"/>
          <w:b/>
          <w:bCs/>
          <w:i/>
          <w:iCs/>
          <w:sz w:val="18"/>
          <w:szCs w:val="18"/>
          <w:u w:val="single"/>
        </w:rPr>
        <w:t>150</w:t>
      </w:r>
      <w:r w:rsidRPr="00FC2145">
        <w:rPr>
          <w:rFonts w:cs="Times New Roman"/>
          <w:b/>
          <w:bCs/>
          <w:i/>
          <w:iCs/>
          <w:sz w:val="18"/>
          <w:szCs w:val="18"/>
          <w:u w:val="single"/>
        </w:rPr>
        <w:t>.</w:t>
      </w:r>
    </w:p>
    <w:p w:rsidR="00950832" w:rsidRPr="00FC2145" w:rsidRDefault="00950832" w:rsidP="00950832">
      <w:pPr>
        <w:pStyle w:val="ListParagraph"/>
        <w:bidi w:val="0"/>
        <w:ind w:left="0"/>
        <w:jc w:val="lowKashida"/>
        <w:rPr>
          <w:rFonts w:cs="Times New Roman"/>
          <w:i/>
          <w:iCs/>
          <w:sz w:val="20"/>
          <w:u w:val="single"/>
        </w:rPr>
      </w:pPr>
    </w:p>
    <w:p w:rsidR="00377785" w:rsidRPr="00FC2145" w:rsidRDefault="00377785" w:rsidP="00377785">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 xml:space="preserve">Tourism                           </w:t>
      </w:r>
    </w:p>
    <w:p w:rsidR="0026040C" w:rsidRPr="00FC2145" w:rsidRDefault="0026040C" w:rsidP="007760F3">
      <w:pPr>
        <w:numPr>
          <w:ilvl w:val="0"/>
          <w:numId w:val="20"/>
        </w:numPr>
        <w:overflowPunct/>
        <w:autoSpaceDE/>
        <w:adjustRightInd/>
        <w:spacing w:after="120"/>
        <w:ind w:left="266" w:hanging="266"/>
        <w:jc w:val="lowKashida"/>
        <w:textAlignment w:val="auto"/>
        <w:rPr>
          <w:noProof/>
        </w:rPr>
      </w:pPr>
      <w:r w:rsidRPr="00FC2145">
        <w:rPr>
          <w:noProof/>
        </w:rPr>
        <w:t xml:space="preserve">There were </w:t>
      </w:r>
      <w:r w:rsidR="00AA00F9">
        <w:rPr>
          <w:noProof/>
        </w:rPr>
        <w:t>124</w:t>
      </w:r>
      <w:r w:rsidRPr="00FC2145">
        <w:rPr>
          <w:noProof/>
        </w:rPr>
        <w:t xml:space="preserve"> operating hotels</w:t>
      </w:r>
      <w:r w:rsidR="00AA00F9">
        <w:rPr>
          <w:noProof/>
        </w:rPr>
        <w:t xml:space="preserve"> at the beginning of</w:t>
      </w:r>
      <w:r w:rsidRPr="00FC2145">
        <w:rPr>
          <w:noProof/>
        </w:rPr>
        <w:t xml:space="preserve"> </w:t>
      </w:r>
      <w:r w:rsidR="00AA00F9">
        <w:rPr>
          <w:noProof/>
        </w:rPr>
        <w:t>2020 in the West Bank</w:t>
      </w:r>
      <w:r w:rsidR="007760F3">
        <w:rPr>
          <w:noProof/>
        </w:rPr>
        <w:t xml:space="preserve"> fell to 47 hotels at the end of 2020</w:t>
      </w:r>
      <w:r w:rsidRPr="00FC2145">
        <w:rPr>
          <w:noProof/>
        </w:rPr>
        <w:t xml:space="preserve"> with </w:t>
      </w:r>
      <w:r w:rsidR="007760F3">
        <w:rPr>
          <w:noProof/>
        </w:rPr>
        <w:t>3,022</w:t>
      </w:r>
      <w:r w:rsidRPr="00FC2145">
        <w:rPr>
          <w:rFonts w:hint="cs"/>
          <w:noProof/>
          <w:rtl/>
        </w:rPr>
        <w:t xml:space="preserve"> </w:t>
      </w:r>
      <w:r w:rsidRPr="00FC2145">
        <w:rPr>
          <w:rFonts w:hint="cs"/>
          <w:noProof/>
        </w:rPr>
        <w:t xml:space="preserve"> </w:t>
      </w:r>
      <w:r w:rsidRPr="00FC2145">
        <w:rPr>
          <w:noProof/>
        </w:rPr>
        <w:t xml:space="preserve">rooms in </w:t>
      </w:r>
      <w:r w:rsidR="00AA00F9">
        <w:rPr>
          <w:noProof/>
        </w:rPr>
        <w:t>average</w:t>
      </w:r>
      <w:r w:rsidRPr="00FC2145">
        <w:rPr>
          <w:noProof/>
        </w:rPr>
        <w:t xml:space="preserve"> and </w:t>
      </w:r>
      <w:r w:rsidR="00AA00F9">
        <w:rPr>
          <w:noProof/>
        </w:rPr>
        <w:t>6</w:t>
      </w:r>
      <w:r w:rsidRPr="00FC2145">
        <w:rPr>
          <w:noProof/>
        </w:rPr>
        <w:t>,</w:t>
      </w:r>
      <w:r w:rsidR="00AA00F9">
        <w:rPr>
          <w:noProof/>
        </w:rPr>
        <w:t>685</w:t>
      </w:r>
      <w:r w:rsidRPr="00FC2145">
        <w:rPr>
          <w:noProof/>
        </w:rPr>
        <w:t xml:space="preserve"> beds</w:t>
      </w:r>
      <w:r w:rsidR="00AA00F9">
        <w:rPr>
          <w:noProof/>
        </w:rPr>
        <w:t xml:space="preserve"> in average</w:t>
      </w:r>
      <w:r w:rsidRPr="00FC2145">
        <w:rPr>
          <w:noProof/>
        </w:rPr>
        <w:t>.</w:t>
      </w:r>
    </w:p>
    <w:p w:rsidR="0026040C" w:rsidRPr="00FC2145" w:rsidRDefault="0026040C" w:rsidP="00AA00F9">
      <w:pPr>
        <w:numPr>
          <w:ilvl w:val="0"/>
          <w:numId w:val="20"/>
        </w:numPr>
        <w:overflowPunct/>
        <w:autoSpaceDE/>
        <w:adjustRightInd/>
        <w:spacing w:after="120"/>
        <w:ind w:left="266" w:hanging="266"/>
        <w:jc w:val="lowKashida"/>
        <w:textAlignment w:val="auto"/>
        <w:rPr>
          <w:noProof/>
        </w:rPr>
      </w:pPr>
      <w:r w:rsidRPr="00FC2145">
        <w:rPr>
          <w:noProof/>
        </w:rPr>
        <w:t xml:space="preserve">During </w:t>
      </w:r>
      <w:r w:rsidR="00AA00F9">
        <w:rPr>
          <w:noProof/>
        </w:rPr>
        <w:t>2020</w:t>
      </w:r>
      <w:r w:rsidRPr="00FC2145">
        <w:rPr>
          <w:noProof/>
        </w:rPr>
        <w:t xml:space="preserve">, the total number of guests in operating hotels in the West Bank was </w:t>
      </w:r>
      <w:r w:rsidR="00AA00F9">
        <w:rPr>
          <w:noProof/>
        </w:rPr>
        <w:t>109</w:t>
      </w:r>
      <w:r w:rsidRPr="00FC2145">
        <w:rPr>
          <w:noProof/>
        </w:rPr>
        <w:t>,</w:t>
      </w:r>
      <w:r w:rsidR="00AA00F9">
        <w:rPr>
          <w:noProof/>
        </w:rPr>
        <w:t>870</w:t>
      </w:r>
      <w:r w:rsidRPr="00FC2145">
        <w:rPr>
          <w:noProof/>
        </w:rPr>
        <w:t>.</w:t>
      </w:r>
    </w:p>
    <w:p w:rsidR="0026040C" w:rsidRPr="00FC2145" w:rsidRDefault="0026040C" w:rsidP="008529B0">
      <w:pPr>
        <w:numPr>
          <w:ilvl w:val="0"/>
          <w:numId w:val="20"/>
        </w:numPr>
        <w:overflowPunct/>
        <w:autoSpaceDE/>
        <w:adjustRightInd/>
        <w:spacing w:after="120"/>
        <w:ind w:left="266" w:hanging="266"/>
        <w:jc w:val="lowKashida"/>
        <w:textAlignment w:val="auto"/>
        <w:rPr>
          <w:noProof/>
        </w:rPr>
      </w:pPr>
      <w:r w:rsidRPr="00FC2145">
        <w:rPr>
          <w:noProof/>
        </w:rPr>
        <w:t>The total number of guest nights was</w:t>
      </w:r>
      <w:r w:rsidR="00AA00F9">
        <w:rPr>
          <w:noProof/>
        </w:rPr>
        <w:t xml:space="preserve"> 297</w:t>
      </w:r>
      <w:r w:rsidRPr="00FC2145">
        <w:rPr>
          <w:noProof/>
        </w:rPr>
        <w:t>,</w:t>
      </w:r>
      <w:r w:rsidR="008529B0">
        <w:rPr>
          <w:noProof/>
        </w:rPr>
        <w:t>629</w:t>
      </w:r>
      <w:r w:rsidRPr="00FC2145">
        <w:rPr>
          <w:noProof/>
        </w:rPr>
        <w:t xml:space="preserve"> during </w:t>
      </w:r>
      <w:r w:rsidR="00AA00F9">
        <w:rPr>
          <w:noProof/>
        </w:rPr>
        <w:t>2020</w:t>
      </w:r>
      <w:r w:rsidRPr="00FC2145">
        <w:rPr>
          <w:noProof/>
        </w:rPr>
        <w:t xml:space="preserve">. </w:t>
      </w:r>
    </w:p>
    <w:p w:rsidR="0026040C" w:rsidRPr="00FC2145" w:rsidRDefault="0026040C" w:rsidP="00AA00F9">
      <w:pPr>
        <w:numPr>
          <w:ilvl w:val="0"/>
          <w:numId w:val="20"/>
        </w:numPr>
        <w:overflowPunct/>
        <w:autoSpaceDE/>
        <w:adjustRightInd/>
        <w:spacing w:after="120"/>
        <w:ind w:left="266" w:hanging="266"/>
        <w:jc w:val="lowKashida"/>
        <w:textAlignment w:val="auto"/>
        <w:rPr>
          <w:noProof/>
        </w:rPr>
      </w:pPr>
      <w:r w:rsidRPr="00FC2145">
        <w:rPr>
          <w:noProof/>
        </w:rPr>
        <w:lastRenderedPageBreak/>
        <w:t>The average number of employed persons were</w:t>
      </w:r>
      <w:r w:rsidR="009E41DA" w:rsidRPr="00FC2145">
        <w:rPr>
          <w:noProof/>
        </w:rPr>
        <w:t xml:space="preserve"> </w:t>
      </w:r>
      <w:r w:rsidR="00AA00F9">
        <w:rPr>
          <w:noProof/>
        </w:rPr>
        <w:t>1</w:t>
      </w:r>
      <w:r w:rsidR="009E41DA" w:rsidRPr="00FC2145">
        <w:rPr>
          <w:noProof/>
        </w:rPr>
        <w:t>,</w:t>
      </w:r>
      <w:r w:rsidR="00AA00F9">
        <w:rPr>
          <w:noProof/>
        </w:rPr>
        <w:t>638</w:t>
      </w:r>
      <w:r w:rsidR="009E41DA" w:rsidRPr="00FC2145">
        <w:rPr>
          <w:noProof/>
        </w:rPr>
        <w:t xml:space="preserve"> </w:t>
      </w:r>
      <w:r w:rsidRPr="00FC2145">
        <w:rPr>
          <w:noProof/>
        </w:rPr>
        <w:t xml:space="preserve">hotel workers: </w:t>
      </w:r>
      <w:r w:rsidR="00AA00F9">
        <w:rPr>
          <w:noProof/>
        </w:rPr>
        <w:t>1</w:t>
      </w:r>
      <w:r w:rsidRPr="00FC2145">
        <w:rPr>
          <w:noProof/>
        </w:rPr>
        <w:t>,</w:t>
      </w:r>
      <w:r w:rsidR="00AA00F9">
        <w:rPr>
          <w:noProof/>
        </w:rPr>
        <w:t>293</w:t>
      </w:r>
      <w:r w:rsidRPr="00FC2145">
        <w:rPr>
          <w:noProof/>
        </w:rPr>
        <w:t xml:space="preserve"> males and </w:t>
      </w:r>
      <w:r w:rsidR="00AA00F9">
        <w:rPr>
          <w:noProof/>
        </w:rPr>
        <w:t>345</w:t>
      </w:r>
      <w:r w:rsidRPr="00FC2145">
        <w:rPr>
          <w:noProof/>
          <w:rtl/>
        </w:rPr>
        <w:t xml:space="preserve"> </w:t>
      </w:r>
      <w:r w:rsidRPr="00FC2145">
        <w:rPr>
          <w:noProof/>
        </w:rPr>
        <w:t>females.</w:t>
      </w:r>
    </w:p>
    <w:p w:rsidR="0026040C" w:rsidRPr="00FC2145" w:rsidRDefault="0026040C" w:rsidP="00AA00F9">
      <w:pPr>
        <w:numPr>
          <w:ilvl w:val="0"/>
          <w:numId w:val="20"/>
        </w:numPr>
        <w:overflowPunct/>
        <w:autoSpaceDE/>
        <w:adjustRightInd/>
        <w:spacing w:after="120"/>
        <w:ind w:left="266" w:hanging="266"/>
        <w:jc w:val="lowKashida"/>
        <w:textAlignment w:val="auto"/>
        <w:rPr>
          <w:noProof/>
        </w:rPr>
      </w:pPr>
      <w:r w:rsidRPr="00FC2145">
        <w:rPr>
          <w:noProof/>
        </w:rPr>
        <w:t xml:space="preserve">Average Room occupancy percentage was </w:t>
      </w:r>
      <w:r w:rsidR="00AA00F9">
        <w:rPr>
          <w:noProof/>
        </w:rPr>
        <w:t>16.5</w:t>
      </w:r>
      <w:r w:rsidRPr="00FC2145">
        <w:rPr>
          <w:noProof/>
        </w:rPr>
        <w:t xml:space="preserve">% in </w:t>
      </w:r>
      <w:r w:rsidR="00AA00F9">
        <w:rPr>
          <w:noProof/>
        </w:rPr>
        <w:t>2020</w:t>
      </w:r>
      <w:r w:rsidRPr="00FC2145">
        <w:rPr>
          <w:noProof/>
        </w:rPr>
        <w:t>.</w:t>
      </w:r>
    </w:p>
    <w:p w:rsidR="0026040C" w:rsidRPr="00FC2145" w:rsidRDefault="0026040C" w:rsidP="00AA00F9">
      <w:pPr>
        <w:numPr>
          <w:ilvl w:val="0"/>
          <w:numId w:val="20"/>
        </w:numPr>
        <w:overflowPunct/>
        <w:autoSpaceDE/>
        <w:adjustRightInd/>
        <w:spacing w:after="120"/>
        <w:ind w:left="266" w:hanging="266"/>
        <w:jc w:val="lowKashida"/>
        <w:textAlignment w:val="auto"/>
        <w:rPr>
          <w:noProof/>
        </w:rPr>
      </w:pPr>
      <w:r w:rsidRPr="00FC2145">
        <w:rPr>
          <w:noProof/>
        </w:rPr>
        <w:t xml:space="preserve">Average Bed occupancy percentage was </w:t>
      </w:r>
      <w:r w:rsidR="00AA00F9">
        <w:rPr>
          <w:noProof/>
        </w:rPr>
        <w:t>12.2</w:t>
      </w:r>
      <w:r w:rsidRPr="00FC2145">
        <w:rPr>
          <w:noProof/>
        </w:rPr>
        <w:t xml:space="preserve">% in </w:t>
      </w:r>
      <w:r w:rsidR="00AA00F9">
        <w:rPr>
          <w:noProof/>
        </w:rPr>
        <w:t>2020</w:t>
      </w:r>
      <w:r w:rsidRPr="00FC2145">
        <w:rPr>
          <w:noProof/>
        </w:rPr>
        <w:t>.</w:t>
      </w:r>
    </w:p>
    <w:p w:rsidR="002C4BB1" w:rsidRPr="00FC2145" w:rsidRDefault="00A77E3C" w:rsidP="00714094">
      <w:pPr>
        <w:jc w:val="lowKashida"/>
        <w:rPr>
          <w:b/>
          <w:bCs/>
          <w:i/>
          <w:iCs/>
          <w:sz w:val="18"/>
          <w:szCs w:val="18"/>
          <w:u w:val="single"/>
        </w:rPr>
      </w:pPr>
      <w:r w:rsidRPr="00FC2145">
        <w:rPr>
          <w:b/>
          <w:bCs/>
          <w:i/>
          <w:iCs/>
          <w:sz w:val="18"/>
          <w:szCs w:val="18"/>
          <w:u w:val="single"/>
        </w:rPr>
        <w:t>For more details on tourism, see the tables in chapter 1.</w:t>
      </w:r>
      <w:r w:rsidR="00714094">
        <w:rPr>
          <w:b/>
          <w:bCs/>
          <w:i/>
          <w:iCs/>
          <w:sz w:val="18"/>
          <w:szCs w:val="18"/>
          <w:u w:val="single"/>
        </w:rPr>
        <w:t>17</w:t>
      </w:r>
      <w:r w:rsidRPr="00FC2145">
        <w:rPr>
          <w:b/>
          <w:bCs/>
          <w:i/>
          <w:iCs/>
          <w:sz w:val="18"/>
          <w:szCs w:val="18"/>
          <w:u w:val="single"/>
        </w:rPr>
        <w:t xml:space="preserve"> of the Arabic section, pages </w:t>
      </w:r>
      <w:r w:rsidR="00714094">
        <w:rPr>
          <w:b/>
          <w:bCs/>
          <w:i/>
          <w:iCs/>
          <w:sz w:val="18"/>
          <w:szCs w:val="18"/>
          <w:u w:val="single"/>
        </w:rPr>
        <w:t>151</w:t>
      </w:r>
      <w:r w:rsidRPr="00FC2145">
        <w:rPr>
          <w:b/>
          <w:bCs/>
          <w:i/>
          <w:iCs/>
          <w:sz w:val="18"/>
          <w:szCs w:val="18"/>
          <w:u w:val="single"/>
        </w:rPr>
        <w:t>-</w:t>
      </w:r>
      <w:r w:rsidR="00714094">
        <w:rPr>
          <w:b/>
          <w:bCs/>
          <w:i/>
          <w:iCs/>
          <w:sz w:val="18"/>
          <w:szCs w:val="18"/>
          <w:u w:val="single"/>
        </w:rPr>
        <w:t>158</w:t>
      </w:r>
      <w:r w:rsidR="002C4BB1" w:rsidRPr="00FC2145">
        <w:rPr>
          <w:b/>
          <w:bCs/>
          <w:i/>
          <w:iCs/>
          <w:sz w:val="18"/>
          <w:szCs w:val="18"/>
          <w:u w:val="single"/>
        </w:rPr>
        <w:t>.</w:t>
      </w:r>
    </w:p>
    <w:p w:rsidR="001378A2" w:rsidRPr="00FC2145" w:rsidRDefault="001378A2" w:rsidP="001378A2">
      <w:pPr>
        <w:pStyle w:val="ListParagraph"/>
        <w:bidi w:val="0"/>
        <w:ind w:left="0"/>
        <w:jc w:val="lowKashida"/>
        <w:rPr>
          <w:rFonts w:cs="Times New Roman"/>
          <w:i/>
          <w:iCs/>
          <w:sz w:val="4"/>
          <w:szCs w:val="4"/>
          <w:u w:val="single"/>
        </w:rPr>
      </w:pPr>
    </w:p>
    <w:p w:rsidR="00A822B8" w:rsidRPr="00FC2145" w:rsidRDefault="00A822B8" w:rsidP="00A822B8">
      <w:pPr>
        <w:pStyle w:val="ListParagraph"/>
        <w:bidi w:val="0"/>
        <w:ind w:left="0"/>
        <w:jc w:val="lowKashida"/>
        <w:rPr>
          <w:rFonts w:cs="Times New Roman"/>
          <w:i/>
          <w:iCs/>
          <w:sz w:val="10"/>
          <w:szCs w:val="10"/>
          <w:u w:val="single"/>
        </w:rPr>
      </w:pPr>
    </w:p>
    <w:p w:rsidR="009A21AB" w:rsidRPr="00FC2145" w:rsidRDefault="009A21AB" w:rsidP="009A21AB">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Services</w:t>
      </w:r>
    </w:p>
    <w:p w:rsidR="00B2504B" w:rsidRPr="00FC2145" w:rsidRDefault="00B2504B" w:rsidP="00B2504B">
      <w:pPr>
        <w:pStyle w:val="BodyText2"/>
        <w:numPr>
          <w:ilvl w:val="0"/>
          <w:numId w:val="2"/>
        </w:numPr>
        <w:spacing w:after="120"/>
        <w:ind w:left="266" w:hanging="266"/>
        <w:rPr>
          <w:noProof/>
        </w:rPr>
      </w:pPr>
      <w:r w:rsidRPr="00FC2145">
        <w:rPr>
          <w:noProof/>
        </w:rPr>
        <w:t xml:space="preserve">There were </w:t>
      </w:r>
      <w:r w:rsidRPr="00FC2145">
        <w:rPr>
          <w:rFonts w:ascii="Simplified Arabic" w:hAnsi="Simplified Arabic" w:cs="Simplified Arabic"/>
        </w:rPr>
        <w:t>153,580</w:t>
      </w:r>
      <w:r w:rsidRPr="00FC2145">
        <w:rPr>
          <w:noProof/>
        </w:rPr>
        <w:t xml:space="preserve"> employed persons in services activities.</w:t>
      </w:r>
    </w:p>
    <w:p w:rsidR="00B2504B" w:rsidRPr="00FC2145" w:rsidRDefault="00B2504B" w:rsidP="00B2504B">
      <w:pPr>
        <w:pStyle w:val="BodyText2"/>
        <w:numPr>
          <w:ilvl w:val="0"/>
          <w:numId w:val="2"/>
        </w:numPr>
        <w:overflowPunct/>
        <w:autoSpaceDE/>
        <w:autoSpaceDN/>
        <w:adjustRightInd/>
        <w:spacing w:after="120"/>
        <w:ind w:left="266" w:hanging="266"/>
        <w:textAlignment w:val="auto"/>
        <w:rPr>
          <w:noProof/>
        </w:rPr>
      </w:pPr>
      <w:r w:rsidRPr="00FC2145">
        <w:rPr>
          <w:noProof/>
        </w:rPr>
        <w:t xml:space="preserve">The value of the enterprises output in the services activities was USD </w:t>
      </w:r>
      <w:r w:rsidRPr="00FC2145">
        <w:rPr>
          <w:rFonts w:ascii="Simplified Arabic" w:hAnsi="Simplified Arabic" w:cs="Simplified Arabic"/>
        </w:rPr>
        <w:t>2,747.6</w:t>
      </w:r>
      <w:r w:rsidRPr="00FC2145">
        <w:rPr>
          <w:noProof/>
        </w:rPr>
        <w:t xml:space="preserve"> million; intermediate consumption totaled USD </w:t>
      </w:r>
      <w:r w:rsidRPr="00FC2145">
        <w:rPr>
          <w:rFonts w:ascii="Simplified Arabic" w:hAnsi="Simplified Arabic" w:cs="Simplified Arabic"/>
        </w:rPr>
        <w:t>645.5</w:t>
      </w:r>
      <w:r w:rsidRPr="00FC2145">
        <w:rPr>
          <w:rFonts w:ascii="Simplified Arabic" w:hAnsi="Simplified Arabic" w:cs="Simplified Arabic"/>
          <w:rtl/>
        </w:rPr>
        <w:t xml:space="preserve"> </w:t>
      </w:r>
      <w:r w:rsidRPr="00FC2145">
        <w:rPr>
          <w:noProof/>
        </w:rPr>
        <w:t xml:space="preserve">million; and the value added was USD </w:t>
      </w:r>
      <w:r w:rsidRPr="00FC2145">
        <w:rPr>
          <w:rFonts w:ascii="Simplified Arabic" w:hAnsi="Simplified Arabic" w:cs="Simplified Arabic" w:hint="cs"/>
          <w:rtl/>
        </w:rPr>
        <w:t>2,102.1</w:t>
      </w:r>
      <w:r w:rsidRPr="00FC2145">
        <w:rPr>
          <w:noProof/>
        </w:rPr>
        <w:t xml:space="preserve"> million.</w:t>
      </w:r>
    </w:p>
    <w:p w:rsidR="00B2504B" w:rsidRPr="00FC2145" w:rsidRDefault="00B2504B" w:rsidP="00714094">
      <w:pPr>
        <w:pStyle w:val="BodyText2"/>
        <w:overflowPunct/>
        <w:autoSpaceDE/>
        <w:autoSpaceDN/>
        <w:adjustRightInd/>
        <w:spacing w:after="120"/>
        <w:textAlignment w:val="auto"/>
        <w:rPr>
          <w:b/>
          <w:bCs/>
          <w:i/>
          <w:iCs/>
          <w:sz w:val="18"/>
          <w:szCs w:val="18"/>
          <w:u w:val="single"/>
        </w:rPr>
      </w:pPr>
      <w:r w:rsidRPr="00FC2145">
        <w:rPr>
          <w:b/>
          <w:bCs/>
          <w:i/>
          <w:iCs/>
          <w:sz w:val="18"/>
          <w:szCs w:val="18"/>
          <w:u w:val="single"/>
        </w:rPr>
        <w:t>For more details on the services sector, see the tables in chapter 1.</w:t>
      </w:r>
      <w:r w:rsidR="00714094">
        <w:rPr>
          <w:b/>
          <w:bCs/>
          <w:i/>
          <w:iCs/>
          <w:sz w:val="18"/>
          <w:szCs w:val="18"/>
          <w:u w:val="single"/>
        </w:rPr>
        <w:t>18</w:t>
      </w:r>
      <w:r w:rsidRPr="00FC2145">
        <w:rPr>
          <w:b/>
          <w:bCs/>
          <w:i/>
          <w:iCs/>
          <w:sz w:val="18"/>
          <w:szCs w:val="18"/>
          <w:u w:val="single"/>
        </w:rPr>
        <w:t xml:space="preserve"> of the Arabic section, pages </w:t>
      </w:r>
      <w:r w:rsidR="00714094">
        <w:rPr>
          <w:b/>
          <w:bCs/>
          <w:i/>
          <w:iCs/>
          <w:sz w:val="18"/>
          <w:szCs w:val="18"/>
          <w:u w:val="single"/>
        </w:rPr>
        <w:t>159</w:t>
      </w:r>
      <w:r w:rsidRPr="00FC2145">
        <w:rPr>
          <w:b/>
          <w:bCs/>
          <w:i/>
          <w:iCs/>
          <w:sz w:val="18"/>
          <w:szCs w:val="18"/>
          <w:u w:val="single"/>
        </w:rPr>
        <w:t>-</w:t>
      </w:r>
      <w:r w:rsidR="00714094">
        <w:rPr>
          <w:b/>
          <w:bCs/>
          <w:i/>
          <w:iCs/>
          <w:sz w:val="18"/>
          <w:szCs w:val="18"/>
          <w:u w:val="single"/>
        </w:rPr>
        <w:t>160</w:t>
      </w:r>
      <w:r w:rsidRPr="00FC2145">
        <w:rPr>
          <w:b/>
          <w:bCs/>
          <w:i/>
          <w:iCs/>
          <w:sz w:val="18"/>
          <w:szCs w:val="18"/>
          <w:u w:val="single"/>
        </w:rPr>
        <w:t>.</w:t>
      </w:r>
    </w:p>
    <w:p w:rsidR="00B2504B" w:rsidRPr="00FC2145" w:rsidRDefault="00B2504B" w:rsidP="00B2504B">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Internal  Trade</w:t>
      </w:r>
    </w:p>
    <w:p w:rsidR="00B2504B" w:rsidRPr="00FC2145" w:rsidRDefault="00B2504B" w:rsidP="00B2504B">
      <w:pPr>
        <w:pStyle w:val="BodyText2"/>
        <w:numPr>
          <w:ilvl w:val="0"/>
          <w:numId w:val="2"/>
        </w:numPr>
        <w:overflowPunct/>
        <w:autoSpaceDE/>
        <w:autoSpaceDN/>
        <w:adjustRightInd/>
        <w:spacing w:after="120"/>
        <w:ind w:left="266" w:hanging="266"/>
        <w:textAlignment w:val="auto"/>
        <w:rPr>
          <w:noProof/>
        </w:rPr>
      </w:pPr>
      <w:r w:rsidRPr="00FC2145">
        <w:rPr>
          <w:noProof/>
        </w:rPr>
        <w:t>In 2020, there were 203,677 employed persons in this activity.</w:t>
      </w:r>
    </w:p>
    <w:p w:rsidR="00B2504B" w:rsidRPr="00FC2145" w:rsidRDefault="00B2504B" w:rsidP="00B2504B">
      <w:pPr>
        <w:pStyle w:val="BodyText2"/>
        <w:numPr>
          <w:ilvl w:val="0"/>
          <w:numId w:val="2"/>
        </w:numPr>
        <w:overflowPunct/>
        <w:autoSpaceDE/>
        <w:autoSpaceDN/>
        <w:adjustRightInd/>
        <w:spacing w:after="120"/>
        <w:ind w:left="266" w:hanging="266"/>
        <w:textAlignment w:val="auto"/>
        <w:rPr>
          <w:noProof/>
        </w:rPr>
      </w:pPr>
      <w:r w:rsidRPr="00FC2145">
        <w:rPr>
          <w:noProof/>
        </w:rPr>
        <w:t>The value of the enterprises output in internal trade activities was USD 4,111.0</w:t>
      </w:r>
      <w:r w:rsidRPr="00FC2145">
        <w:rPr>
          <w:noProof/>
          <w:rtl/>
        </w:rPr>
        <w:t xml:space="preserve"> </w:t>
      </w:r>
      <w:r w:rsidRPr="00FC2145">
        <w:rPr>
          <w:noProof/>
        </w:rPr>
        <w:t xml:space="preserve"> million; intermediate consumption totaled USD 760.0 million; and the value added was USD 3,351.0 million.</w:t>
      </w:r>
    </w:p>
    <w:p w:rsidR="00874FE8" w:rsidRPr="00FC2145" w:rsidRDefault="00874FE8" w:rsidP="00874FE8">
      <w:pPr>
        <w:pStyle w:val="ListParagraph"/>
        <w:bidi w:val="0"/>
        <w:ind w:left="0"/>
        <w:jc w:val="lowKashida"/>
        <w:rPr>
          <w:rFonts w:cs="Times New Roman"/>
          <w:i/>
          <w:iCs/>
          <w:sz w:val="20"/>
          <w:u w:val="single"/>
        </w:rPr>
      </w:pPr>
    </w:p>
    <w:p w:rsidR="00874FE8" w:rsidRPr="00FC2145" w:rsidRDefault="00874FE8" w:rsidP="00714094">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Internal  trade, see the tables in chapter 1.</w:t>
      </w:r>
      <w:r w:rsidR="00714094">
        <w:rPr>
          <w:rFonts w:cs="Times New Roman"/>
          <w:b/>
          <w:bCs/>
          <w:i/>
          <w:iCs/>
          <w:sz w:val="18"/>
          <w:szCs w:val="18"/>
          <w:u w:val="single"/>
        </w:rPr>
        <w:t>19</w:t>
      </w:r>
      <w:r w:rsidRPr="00FC2145">
        <w:rPr>
          <w:rFonts w:cs="Times New Roman"/>
          <w:b/>
          <w:bCs/>
          <w:i/>
          <w:iCs/>
          <w:sz w:val="18"/>
          <w:szCs w:val="18"/>
          <w:u w:val="single"/>
        </w:rPr>
        <w:t xml:space="preserve"> of the Arabic section, pages</w:t>
      </w:r>
      <w:r w:rsidR="00C561F1">
        <w:rPr>
          <w:rFonts w:cs="Times New Roman"/>
          <w:b/>
          <w:bCs/>
          <w:i/>
          <w:iCs/>
          <w:sz w:val="18"/>
          <w:szCs w:val="18"/>
          <w:u w:val="single"/>
        </w:rPr>
        <w:t xml:space="preserve">       </w:t>
      </w:r>
      <w:r w:rsidR="00714094">
        <w:rPr>
          <w:rFonts w:cs="Times New Roman"/>
          <w:b/>
          <w:bCs/>
          <w:i/>
          <w:iCs/>
          <w:sz w:val="18"/>
          <w:szCs w:val="18"/>
          <w:u w:val="single"/>
        </w:rPr>
        <w:t>161</w:t>
      </w:r>
      <w:r w:rsidRPr="00FC2145">
        <w:rPr>
          <w:rFonts w:cs="Times New Roman"/>
          <w:b/>
          <w:bCs/>
          <w:i/>
          <w:iCs/>
          <w:sz w:val="18"/>
          <w:szCs w:val="18"/>
          <w:u w:val="single"/>
        </w:rPr>
        <w:t>-</w:t>
      </w:r>
      <w:r w:rsidR="00714094">
        <w:rPr>
          <w:rFonts w:cs="Times New Roman"/>
          <w:b/>
          <w:bCs/>
          <w:i/>
          <w:iCs/>
          <w:sz w:val="18"/>
          <w:szCs w:val="18"/>
          <w:u w:val="single"/>
        </w:rPr>
        <w:t>162</w:t>
      </w:r>
      <w:r w:rsidRPr="00FC2145">
        <w:rPr>
          <w:rFonts w:cs="Times New Roman"/>
          <w:b/>
          <w:bCs/>
          <w:i/>
          <w:iCs/>
          <w:sz w:val="18"/>
          <w:szCs w:val="18"/>
          <w:u w:val="single"/>
        </w:rPr>
        <w:t>.</w:t>
      </w:r>
    </w:p>
    <w:p w:rsidR="005F6984" w:rsidRPr="00FC2145" w:rsidRDefault="005F6984" w:rsidP="005F6984">
      <w:pPr>
        <w:pStyle w:val="ListParagraph"/>
        <w:bidi w:val="0"/>
        <w:ind w:left="0"/>
        <w:jc w:val="lowKashida"/>
        <w:rPr>
          <w:rFonts w:cs="Times New Roman"/>
          <w:b/>
          <w:bCs/>
          <w:i/>
          <w:iCs/>
          <w:sz w:val="18"/>
          <w:szCs w:val="18"/>
          <w:u w:val="single"/>
        </w:rPr>
      </w:pPr>
    </w:p>
    <w:p w:rsidR="00F11EE2" w:rsidRPr="00FC2145" w:rsidRDefault="00F11EE2" w:rsidP="00332048">
      <w:pPr>
        <w:pStyle w:val="Title"/>
        <w:numPr>
          <w:ilvl w:val="0"/>
          <w:numId w:val="19"/>
        </w:numPr>
        <w:tabs>
          <w:tab w:val="right" w:pos="308"/>
        </w:tabs>
        <w:bidi w:val="0"/>
        <w:ind w:left="252" w:hanging="252"/>
        <w:jc w:val="left"/>
        <w:rPr>
          <w:rFonts w:cs="Traditional Arabic"/>
          <w:sz w:val="20"/>
          <w:szCs w:val="20"/>
        </w:rPr>
      </w:pPr>
      <w:r w:rsidRPr="00FC2145">
        <w:rPr>
          <w:rFonts w:cs="Traditional Arabic"/>
          <w:sz w:val="20"/>
          <w:szCs w:val="20"/>
        </w:rPr>
        <w:t>Registered Foreign Trade</w:t>
      </w:r>
    </w:p>
    <w:p w:rsidR="00800AFD" w:rsidRPr="00FC2145" w:rsidRDefault="00800AFD" w:rsidP="00800AFD">
      <w:pPr>
        <w:pStyle w:val="BodyText2"/>
        <w:numPr>
          <w:ilvl w:val="0"/>
          <w:numId w:val="41"/>
        </w:numPr>
        <w:overflowPunct/>
        <w:autoSpaceDE/>
        <w:autoSpaceDN/>
        <w:adjustRightInd/>
        <w:spacing w:after="120"/>
        <w:ind w:left="378"/>
        <w:textAlignment w:val="auto"/>
        <w:rPr>
          <w:noProof/>
        </w:rPr>
      </w:pPr>
      <w:r w:rsidRPr="00FC2145">
        <w:rPr>
          <w:noProof/>
        </w:rPr>
        <w:t>The total value of registered imported goods in 2020 was USD 6,063.4 million, which marks a decrease of 8.3% compared to 2019.</w:t>
      </w:r>
    </w:p>
    <w:p w:rsidR="00800AFD" w:rsidRPr="00FC2145" w:rsidRDefault="00800AFD" w:rsidP="00800AFD">
      <w:pPr>
        <w:pStyle w:val="BodyText2"/>
        <w:numPr>
          <w:ilvl w:val="0"/>
          <w:numId w:val="41"/>
        </w:numPr>
        <w:overflowPunct/>
        <w:autoSpaceDE/>
        <w:autoSpaceDN/>
        <w:adjustRightInd/>
        <w:spacing w:after="120"/>
        <w:ind w:left="378"/>
        <w:textAlignment w:val="auto"/>
        <w:rPr>
          <w:noProof/>
        </w:rPr>
      </w:pPr>
      <w:r w:rsidRPr="00FC2145">
        <w:rPr>
          <w:noProof/>
        </w:rPr>
        <w:t xml:space="preserve">The registered exported goods totaled USD 1,054.6 million in 2020 marking a decrease of 4.5% compared to 2019. </w:t>
      </w:r>
    </w:p>
    <w:p w:rsidR="00800AFD" w:rsidRPr="00FC2145" w:rsidRDefault="00800AFD" w:rsidP="00800AFD">
      <w:pPr>
        <w:pStyle w:val="BodyText2"/>
        <w:numPr>
          <w:ilvl w:val="0"/>
          <w:numId w:val="41"/>
        </w:numPr>
        <w:overflowPunct/>
        <w:autoSpaceDE/>
        <w:autoSpaceDN/>
        <w:adjustRightInd/>
        <w:spacing w:after="120"/>
        <w:ind w:left="378"/>
        <w:textAlignment w:val="auto"/>
        <w:rPr>
          <w:noProof/>
        </w:rPr>
      </w:pPr>
      <w:r w:rsidRPr="00FC2145">
        <w:rPr>
          <w:noProof/>
        </w:rPr>
        <w:t>The deficit in the trade balance in goods (the difference between exports and imports) totaled USD 5,008.8 million in 2020, showing a decrease of 9.1% compared to 2019.</w:t>
      </w:r>
    </w:p>
    <w:p w:rsidR="00800AFD" w:rsidRPr="00FC2145" w:rsidRDefault="00800AFD" w:rsidP="00800AFD">
      <w:pPr>
        <w:pStyle w:val="Header"/>
        <w:tabs>
          <w:tab w:val="clear" w:pos="4153"/>
          <w:tab w:val="clear" w:pos="8306"/>
        </w:tabs>
        <w:jc w:val="center"/>
        <w:rPr>
          <w:rFonts w:ascii="Arial" w:hAnsi="Arial"/>
          <w:b/>
          <w:bCs/>
          <w:sz w:val="18"/>
          <w:szCs w:val="18"/>
        </w:rPr>
      </w:pPr>
    </w:p>
    <w:p w:rsidR="00800AFD" w:rsidRPr="00FC2145" w:rsidRDefault="00800AFD" w:rsidP="00800AFD">
      <w:pPr>
        <w:overflowPunct/>
        <w:autoSpaceDE/>
        <w:autoSpaceDN/>
        <w:adjustRightInd/>
        <w:textAlignment w:val="auto"/>
        <w:rPr>
          <w:rFonts w:ascii="Arial" w:hAnsi="Arial"/>
          <w:b/>
          <w:bCs/>
          <w:sz w:val="18"/>
          <w:szCs w:val="18"/>
        </w:rPr>
      </w:pPr>
      <w:r w:rsidRPr="00FC2145">
        <w:rPr>
          <w:rFonts w:ascii="Arial" w:hAnsi="Arial"/>
          <w:b/>
          <w:bCs/>
          <w:sz w:val="18"/>
          <w:szCs w:val="18"/>
        </w:rPr>
        <w:br w:type="page"/>
      </w:r>
    </w:p>
    <w:p w:rsidR="00800AFD" w:rsidRPr="00FC2145" w:rsidRDefault="00800AFD" w:rsidP="00800AFD">
      <w:pPr>
        <w:pStyle w:val="Header"/>
        <w:tabs>
          <w:tab w:val="clear" w:pos="4153"/>
          <w:tab w:val="clear" w:pos="8306"/>
        </w:tabs>
        <w:jc w:val="center"/>
        <w:rPr>
          <w:b/>
          <w:bCs/>
          <w:sz w:val="10"/>
          <w:szCs w:val="10"/>
        </w:rPr>
      </w:pPr>
      <w:r w:rsidRPr="00FC2145">
        <w:rPr>
          <w:rFonts w:ascii="Arial" w:hAnsi="Arial"/>
          <w:b/>
          <w:bCs/>
          <w:sz w:val="18"/>
          <w:szCs w:val="18"/>
        </w:rPr>
        <w:lastRenderedPageBreak/>
        <w:t>Value of Registered Imports, Exports in Goods and Net Trade Balance in Palestine*, 2000-2020</w:t>
      </w:r>
      <w:r w:rsidRPr="00FC2145">
        <w:rPr>
          <w:rFonts w:ascii="Arial" w:hAnsi="Arial"/>
          <w:b/>
          <w:bCs/>
          <w:sz w:val="18"/>
          <w:szCs w:val="18"/>
        </w:rPr>
        <w:br/>
      </w:r>
    </w:p>
    <w:tbl>
      <w:tblPr>
        <w:tblStyle w:val="TableGrid"/>
        <w:tblW w:w="0" w:type="auto"/>
        <w:tblLook w:val="04A0" w:firstRow="1" w:lastRow="0" w:firstColumn="1" w:lastColumn="0" w:noHBand="0" w:noVBand="1"/>
      </w:tblPr>
      <w:tblGrid>
        <w:gridCol w:w="7361"/>
      </w:tblGrid>
      <w:tr w:rsidR="00800AFD" w:rsidRPr="00FC2145" w:rsidTr="00800AFD">
        <w:trPr>
          <w:trHeight w:val="3761"/>
        </w:trPr>
        <w:tc>
          <w:tcPr>
            <w:tcW w:w="7248" w:type="dxa"/>
            <w:vAlign w:val="center"/>
          </w:tcPr>
          <w:p w:rsidR="00800AFD" w:rsidRPr="00FC2145" w:rsidRDefault="00800AFD" w:rsidP="00211022">
            <w:pPr>
              <w:pStyle w:val="Header"/>
              <w:tabs>
                <w:tab w:val="clear" w:pos="4153"/>
                <w:tab w:val="clear" w:pos="8306"/>
              </w:tabs>
              <w:jc w:val="center"/>
              <w:rPr>
                <w:rFonts w:ascii="Arial" w:hAnsi="Arial"/>
                <w:b/>
                <w:bCs/>
                <w:sz w:val="18"/>
                <w:szCs w:val="18"/>
              </w:rPr>
            </w:pPr>
            <w:r w:rsidRPr="00FC2145">
              <w:rPr>
                <w:rFonts w:hint="cs"/>
                <w:b/>
                <w:bCs/>
                <w:noProof/>
                <w:sz w:val="2"/>
                <w:szCs w:val="2"/>
                <w:rtl/>
              </w:rPr>
              <w:drawing>
                <wp:anchor distT="0" distB="0" distL="114300" distR="114300" simplePos="0" relativeHeight="251683840" behindDoc="0" locked="0" layoutInCell="1" allowOverlap="1" wp14:anchorId="0B07C185" wp14:editId="4397C7EF">
                  <wp:simplePos x="0" y="0"/>
                  <wp:positionH relativeFrom="column">
                    <wp:posOffset>-62230</wp:posOffset>
                  </wp:positionH>
                  <wp:positionV relativeFrom="paragraph">
                    <wp:posOffset>-2418715</wp:posOffset>
                  </wp:positionV>
                  <wp:extent cx="4837430" cy="2464435"/>
                  <wp:effectExtent l="0" t="0" r="0" b="0"/>
                  <wp:wrapSquare wrapText="bothSides"/>
                  <wp:docPr id="11"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p>
        </w:tc>
      </w:tr>
    </w:tbl>
    <w:p w:rsidR="00800AFD" w:rsidRPr="00FC2145" w:rsidRDefault="00800AFD" w:rsidP="00800AFD">
      <w:pPr>
        <w:pStyle w:val="Header"/>
        <w:tabs>
          <w:tab w:val="clear" w:pos="4153"/>
          <w:tab w:val="clear" w:pos="8306"/>
        </w:tabs>
        <w:jc w:val="center"/>
        <w:rPr>
          <w:b/>
          <w:bCs/>
          <w:sz w:val="10"/>
          <w:szCs w:val="10"/>
        </w:rPr>
      </w:pPr>
    </w:p>
    <w:p w:rsidR="00800AFD" w:rsidRPr="00FC2145" w:rsidRDefault="00800AFD" w:rsidP="00800AFD">
      <w:pPr>
        <w:pStyle w:val="Header"/>
        <w:tabs>
          <w:tab w:val="clear" w:pos="4153"/>
          <w:tab w:val="clear" w:pos="8306"/>
        </w:tabs>
        <w:jc w:val="center"/>
        <w:rPr>
          <w:b/>
          <w:bCs/>
          <w:sz w:val="10"/>
          <w:szCs w:val="10"/>
        </w:rPr>
      </w:pPr>
    </w:p>
    <w:p w:rsidR="00925B58" w:rsidRPr="00FC2145" w:rsidRDefault="00800AFD" w:rsidP="00800AFD">
      <w:pPr>
        <w:jc w:val="lowKashida"/>
        <w:rPr>
          <w:sz w:val="14"/>
          <w:szCs w:val="14"/>
        </w:rPr>
      </w:pPr>
      <w:r w:rsidRPr="00FC2145">
        <w:rPr>
          <w:rFonts w:ascii="Arial" w:hAnsi="Arial"/>
          <w:sz w:val="14"/>
          <w:szCs w:val="14"/>
        </w:rPr>
        <w:t>*:</w:t>
      </w:r>
      <w:r w:rsidRPr="00FC2145">
        <w:rPr>
          <w:rFonts w:ascii="Arial" w:hAnsi="Arial" w:cs="Arial"/>
          <w:sz w:val="14"/>
          <w:szCs w:val="14"/>
        </w:rPr>
        <w:t xml:space="preserve"> Data excluded those parts of </w:t>
      </w:r>
      <w:proofErr w:type="gramStart"/>
      <w:r w:rsidRPr="00FC2145">
        <w:rPr>
          <w:rFonts w:ascii="Arial" w:hAnsi="Arial" w:cs="Arial"/>
          <w:sz w:val="14"/>
          <w:szCs w:val="14"/>
        </w:rPr>
        <w:t>Jerusalem which</w:t>
      </w:r>
      <w:proofErr w:type="gramEnd"/>
      <w:r w:rsidRPr="00FC2145">
        <w:rPr>
          <w:rFonts w:ascii="Arial" w:hAnsi="Arial" w:cs="Arial"/>
          <w:sz w:val="14"/>
          <w:szCs w:val="14"/>
        </w:rPr>
        <w:t xml:space="preserve"> were annexed by Israel Occupation in 1967</w:t>
      </w:r>
      <w:r w:rsidRPr="00FC2145">
        <w:rPr>
          <w:sz w:val="14"/>
          <w:szCs w:val="14"/>
        </w:rPr>
        <w:t>.</w:t>
      </w:r>
    </w:p>
    <w:p w:rsidR="00121893" w:rsidRPr="00FC2145" w:rsidRDefault="00121893" w:rsidP="00121893">
      <w:pPr>
        <w:jc w:val="lowKashida"/>
        <w:rPr>
          <w:sz w:val="10"/>
          <w:szCs w:val="10"/>
        </w:rPr>
      </w:pPr>
    </w:p>
    <w:p w:rsidR="00121893" w:rsidRPr="00FC2145" w:rsidRDefault="00121893" w:rsidP="00714094">
      <w:pPr>
        <w:pStyle w:val="Title"/>
        <w:tabs>
          <w:tab w:val="right" w:pos="308"/>
        </w:tabs>
        <w:bidi w:val="0"/>
        <w:jc w:val="left"/>
        <w:rPr>
          <w:rFonts w:cs="Times New Roman"/>
          <w:i/>
          <w:iCs/>
          <w:sz w:val="18"/>
          <w:szCs w:val="18"/>
          <w:u w:val="single"/>
        </w:rPr>
      </w:pPr>
      <w:r w:rsidRPr="00FC2145">
        <w:rPr>
          <w:rFonts w:cs="Times New Roman"/>
          <w:i/>
          <w:iCs/>
          <w:sz w:val="18"/>
          <w:szCs w:val="18"/>
          <w:u w:val="single"/>
        </w:rPr>
        <w:t xml:space="preserve">For more details on </w:t>
      </w:r>
      <w:r w:rsidR="008F6290" w:rsidRPr="00FC2145">
        <w:rPr>
          <w:rFonts w:cs="Times New Roman"/>
          <w:i/>
          <w:iCs/>
          <w:sz w:val="18"/>
          <w:szCs w:val="18"/>
          <w:u w:val="single"/>
        </w:rPr>
        <w:t xml:space="preserve">Registered Foreign Trade </w:t>
      </w:r>
      <w:r w:rsidRPr="00FC2145">
        <w:rPr>
          <w:rFonts w:cs="Times New Roman"/>
          <w:i/>
          <w:iCs/>
          <w:sz w:val="18"/>
          <w:szCs w:val="18"/>
          <w:u w:val="single"/>
        </w:rPr>
        <w:t>, see the tables in chapter 1.</w:t>
      </w:r>
      <w:r w:rsidR="00714094">
        <w:rPr>
          <w:rFonts w:cs="Times New Roman"/>
          <w:i/>
          <w:iCs/>
          <w:sz w:val="18"/>
          <w:szCs w:val="18"/>
          <w:u w:val="single"/>
        </w:rPr>
        <w:t>20</w:t>
      </w:r>
      <w:r w:rsidRPr="00FC2145">
        <w:rPr>
          <w:rFonts w:cs="Times New Roman"/>
          <w:i/>
          <w:iCs/>
          <w:sz w:val="18"/>
          <w:szCs w:val="18"/>
          <w:u w:val="single"/>
        </w:rPr>
        <w:t xml:space="preserve"> of the Arabic section, pages </w:t>
      </w:r>
      <w:r w:rsidR="00C45804" w:rsidRPr="00FC2145">
        <w:rPr>
          <w:rFonts w:cs="Times New Roman"/>
          <w:i/>
          <w:iCs/>
          <w:sz w:val="18"/>
          <w:szCs w:val="18"/>
          <w:u w:val="single"/>
        </w:rPr>
        <w:t xml:space="preserve">  </w:t>
      </w:r>
      <w:r w:rsidR="00714094">
        <w:rPr>
          <w:rFonts w:cs="Times New Roman"/>
          <w:i/>
          <w:iCs/>
          <w:sz w:val="18"/>
          <w:szCs w:val="18"/>
          <w:u w:val="single"/>
        </w:rPr>
        <w:t>163</w:t>
      </w:r>
      <w:r w:rsidRPr="00FC2145">
        <w:rPr>
          <w:rFonts w:cs="Times New Roman"/>
          <w:i/>
          <w:iCs/>
          <w:sz w:val="18"/>
          <w:szCs w:val="18"/>
          <w:u w:val="single"/>
        </w:rPr>
        <w:t>-</w:t>
      </w:r>
      <w:r w:rsidR="00714094">
        <w:rPr>
          <w:rFonts w:cs="Times New Roman"/>
          <w:i/>
          <w:iCs/>
          <w:sz w:val="18"/>
          <w:szCs w:val="18"/>
          <w:u w:val="single"/>
        </w:rPr>
        <w:t>170</w:t>
      </w:r>
      <w:r w:rsidRPr="00FC2145">
        <w:rPr>
          <w:rFonts w:cs="Times New Roman"/>
          <w:i/>
          <w:iCs/>
          <w:sz w:val="18"/>
          <w:szCs w:val="18"/>
          <w:u w:val="single"/>
        </w:rPr>
        <w:t>.</w:t>
      </w:r>
    </w:p>
    <w:p w:rsidR="00DF5DC7" w:rsidRPr="00FC2145" w:rsidRDefault="00DF5DC7" w:rsidP="00DF5DC7">
      <w:pPr>
        <w:overflowPunct/>
        <w:autoSpaceDE/>
        <w:autoSpaceDN/>
        <w:adjustRightInd/>
        <w:textAlignment w:val="auto"/>
        <w:rPr>
          <w:rFonts w:cs="Traditional Arabic"/>
          <w:b/>
          <w:bCs/>
          <w:noProof/>
        </w:rPr>
      </w:pPr>
    </w:p>
    <w:p w:rsidR="00971562" w:rsidRPr="00753A7D" w:rsidRDefault="00971562" w:rsidP="00307E71">
      <w:pPr>
        <w:pStyle w:val="Title"/>
        <w:numPr>
          <w:ilvl w:val="0"/>
          <w:numId w:val="19"/>
        </w:numPr>
        <w:tabs>
          <w:tab w:val="right" w:pos="308"/>
        </w:tabs>
        <w:bidi w:val="0"/>
        <w:jc w:val="left"/>
        <w:rPr>
          <w:rFonts w:cs="Traditional Arabic"/>
          <w:sz w:val="20"/>
          <w:szCs w:val="20"/>
          <w:rtl/>
        </w:rPr>
      </w:pPr>
      <w:r w:rsidRPr="00753A7D">
        <w:rPr>
          <w:rFonts w:cs="Traditional Arabic"/>
          <w:sz w:val="20"/>
          <w:szCs w:val="20"/>
        </w:rPr>
        <w:t xml:space="preserve">Balance of Payments </w:t>
      </w:r>
    </w:p>
    <w:p w:rsidR="00971562" w:rsidRPr="00753A7D" w:rsidRDefault="00714094" w:rsidP="00307E71">
      <w:pPr>
        <w:pStyle w:val="Title"/>
        <w:bidi w:val="0"/>
        <w:ind w:left="-210" w:firstLine="210"/>
        <w:jc w:val="left"/>
        <w:rPr>
          <w:rFonts w:cs="Traditional Arabic"/>
          <w:sz w:val="20"/>
          <w:szCs w:val="20"/>
        </w:rPr>
      </w:pPr>
      <w:r w:rsidRPr="00753A7D">
        <w:rPr>
          <w:rFonts w:cs="Traditional Arabic"/>
          <w:sz w:val="20"/>
          <w:szCs w:val="20"/>
        </w:rPr>
        <w:t>21</w:t>
      </w:r>
      <w:r w:rsidR="00971562" w:rsidRPr="00753A7D">
        <w:rPr>
          <w:rFonts w:cs="Traditional Arabic"/>
          <w:sz w:val="20"/>
          <w:szCs w:val="20"/>
        </w:rPr>
        <w:t>.1 Current Account</w:t>
      </w:r>
    </w:p>
    <w:p w:rsidR="00971562" w:rsidRPr="00753A7D" w:rsidRDefault="00971562" w:rsidP="00662C07">
      <w:pPr>
        <w:pStyle w:val="BodyText2"/>
        <w:numPr>
          <w:ilvl w:val="0"/>
          <w:numId w:val="2"/>
        </w:numPr>
        <w:overflowPunct/>
        <w:autoSpaceDE/>
        <w:autoSpaceDN/>
        <w:adjustRightInd/>
        <w:spacing w:after="120"/>
        <w:ind w:left="266" w:hanging="266"/>
        <w:textAlignment w:val="auto"/>
        <w:rPr>
          <w:noProof/>
        </w:rPr>
      </w:pPr>
      <w:r w:rsidRPr="00753A7D">
        <w:rPr>
          <w:noProof/>
        </w:rPr>
        <w:t xml:space="preserve">The Palestinian balance of payments in 2020 recorded a deficit of USD </w:t>
      </w:r>
      <w:r w:rsidRPr="00753A7D">
        <w:rPr>
          <w:rFonts w:ascii="Simplified Arabic" w:hAnsi="Simplified Arabic" w:cs="Simplified Arabic"/>
          <w:noProof/>
          <w:rtl/>
        </w:rPr>
        <w:t>1</w:t>
      </w:r>
      <w:r w:rsidR="00662C07" w:rsidRPr="00753A7D">
        <w:rPr>
          <w:rFonts w:ascii="Simplified Arabic" w:hAnsi="Simplified Arabic" w:cs="Simplified Arabic"/>
          <w:noProof/>
        </w:rPr>
        <w:t>,</w:t>
      </w:r>
      <w:r w:rsidR="00BD73D6" w:rsidRPr="00753A7D">
        <w:rPr>
          <w:rFonts w:ascii="Simplified Arabic" w:hAnsi="Simplified Arabic" w:cs="Simplified Arabic"/>
          <w:noProof/>
        </w:rPr>
        <w:t>903.2</w:t>
      </w:r>
      <w:r w:rsidRPr="00753A7D">
        <w:rPr>
          <w:rFonts w:ascii="Simplified Arabic" w:hAnsi="Simplified Arabic" w:cs="Simplified Arabic" w:hint="cs"/>
          <w:noProof/>
          <w:rtl/>
        </w:rPr>
        <w:t xml:space="preserve"> </w:t>
      </w:r>
      <w:r w:rsidRPr="00753A7D">
        <w:rPr>
          <w:noProof/>
        </w:rPr>
        <w:t xml:space="preserve"> million in the current account (goods, services, income, current transfers) </w:t>
      </w:r>
    </w:p>
    <w:p w:rsidR="00971562" w:rsidRPr="00753A7D" w:rsidRDefault="00971562" w:rsidP="00BD73D6">
      <w:pPr>
        <w:pStyle w:val="BodyText2"/>
        <w:numPr>
          <w:ilvl w:val="0"/>
          <w:numId w:val="2"/>
        </w:numPr>
        <w:overflowPunct/>
        <w:autoSpaceDE/>
        <w:autoSpaceDN/>
        <w:adjustRightInd/>
        <w:spacing w:after="120"/>
        <w:ind w:left="266" w:hanging="266"/>
        <w:textAlignment w:val="auto"/>
        <w:rPr>
          <w:noProof/>
        </w:rPr>
      </w:pPr>
      <w:r w:rsidRPr="00753A7D">
        <w:rPr>
          <w:noProof/>
        </w:rPr>
        <w:t>The trade balance of goods recorded</w:t>
      </w:r>
      <w:r w:rsidRPr="00753A7D">
        <w:rPr>
          <w:noProof/>
          <w:rtl/>
        </w:rPr>
        <w:t xml:space="preserve"> </w:t>
      </w:r>
      <w:r w:rsidRPr="00753A7D">
        <w:rPr>
          <w:noProof/>
        </w:rPr>
        <w:t>a deficit of USD 4,</w:t>
      </w:r>
      <w:r w:rsidR="00BD73D6" w:rsidRPr="00753A7D">
        <w:rPr>
          <w:noProof/>
        </w:rPr>
        <w:t>775.1</w:t>
      </w:r>
      <w:r w:rsidRPr="00753A7D">
        <w:rPr>
          <w:noProof/>
        </w:rPr>
        <w:t xml:space="preserve"> million.  This reflects an decrease of </w:t>
      </w:r>
      <w:r w:rsidR="00BD73D6" w:rsidRPr="00753A7D">
        <w:rPr>
          <w:noProof/>
        </w:rPr>
        <w:t>15.4</w:t>
      </w:r>
      <w:r w:rsidRPr="00753A7D">
        <w:rPr>
          <w:noProof/>
        </w:rPr>
        <w:t>% compared with the 2019 deficit.  The trade balance deficit with Israel was the main cause of the overall trade balance deficit.</w:t>
      </w:r>
    </w:p>
    <w:p w:rsidR="00971562" w:rsidRPr="00753A7D" w:rsidRDefault="00971562" w:rsidP="00BD73D6">
      <w:pPr>
        <w:pStyle w:val="BodyText2"/>
        <w:numPr>
          <w:ilvl w:val="0"/>
          <w:numId w:val="2"/>
        </w:numPr>
        <w:overflowPunct/>
        <w:autoSpaceDE/>
        <w:autoSpaceDN/>
        <w:adjustRightInd/>
        <w:spacing w:after="120"/>
        <w:ind w:left="266" w:hanging="266"/>
        <w:textAlignment w:val="auto"/>
        <w:rPr>
          <w:noProof/>
        </w:rPr>
      </w:pPr>
      <w:r w:rsidRPr="00753A7D">
        <w:rPr>
          <w:noProof/>
        </w:rPr>
        <w:t xml:space="preserve">The services balance recorded a deficit of USD </w:t>
      </w:r>
      <w:r w:rsidR="00BD73D6" w:rsidRPr="00753A7D">
        <w:rPr>
          <w:noProof/>
        </w:rPr>
        <w:t>905.4</w:t>
      </w:r>
      <w:r w:rsidRPr="00753A7D">
        <w:rPr>
          <w:noProof/>
        </w:rPr>
        <w:t xml:space="preserve"> million. compared with a deficit of USD </w:t>
      </w:r>
      <w:r w:rsidR="00BD73D6" w:rsidRPr="00753A7D">
        <w:rPr>
          <w:noProof/>
        </w:rPr>
        <w:t>992.8</w:t>
      </w:r>
      <w:r w:rsidRPr="00753A7D">
        <w:rPr>
          <w:noProof/>
        </w:rPr>
        <w:t xml:space="preserve"> million in 2019. </w:t>
      </w:r>
    </w:p>
    <w:p w:rsidR="00971562" w:rsidRPr="00753A7D" w:rsidRDefault="00714094" w:rsidP="00307E71">
      <w:pPr>
        <w:pStyle w:val="Title"/>
        <w:bidi w:val="0"/>
        <w:ind w:left="-210" w:firstLine="210"/>
        <w:jc w:val="left"/>
        <w:rPr>
          <w:rFonts w:cs="Traditional Arabic"/>
          <w:sz w:val="20"/>
          <w:szCs w:val="20"/>
        </w:rPr>
      </w:pPr>
      <w:r w:rsidRPr="00753A7D">
        <w:rPr>
          <w:rFonts w:cs="Traditional Arabic" w:hint="cs"/>
          <w:sz w:val="20"/>
          <w:szCs w:val="20"/>
          <w:rtl/>
        </w:rPr>
        <w:t>21</w:t>
      </w:r>
      <w:r w:rsidR="00971562" w:rsidRPr="00753A7D">
        <w:rPr>
          <w:rFonts w:cs="Traditional Arabic"/>
          <w:sz w:val="20"/>
          <w:szCs w:val="20"/>
        </w:rPr>
        <w:t>.2 Income Balance</w:t>
      </w:r>
    </w:p>
    <w:p w:rsidR="00971562" w:rsidRPr="00753A7D" w:rsidRDefault="00971562" w:rsidP="00BD73D6">
      <w:pPr>
        <w:pStyle w:val="BodyText2"/>
        <w:numPr>
          <w:ilvl w:val="0"/>
          <w:numId w:val="2"/>
        </w:numPr>
        <w:tabs>
          <w:tab w:val="num" w:pos="1211"/>
        </w:tabs>
        <w:overflowPunct/>
        <w:autoSpaceDE/>
        <w:autoSpaceDN/>
        <w:adjustRightInd/>
        <w:spacing w:after="120"/>
        <w:ind w:left="142" w:hanging="266"/>
        <w:textAlignment w:val="auto"/>
      </w:pPr>
      <w:r w:rsidRPr="00753A7D">
        <w:rPr>
          <w:noProof/>
        </w:rPr>
        <w:t xml:space="preserve">A surplus of USD </w:t>
      </w:r>
      <w:r w:rsidRPr="00753A7D">
        <w:rPr>
          <w:rFonts w:ascii="Simplified Arabic" w:hAnsi="Simplified Arabic" w:cs="Simplified Arabic"/>
          <w:lang w:val="en-GB"/>
        </w:rPr>
        <w:t>2,</w:t>
      </w:r>
      <w:r w:rsidR="00BD73D6" w:rsidRPr="00753A7D">
        <w:rPr>
          <w:rFonts w:ascii="Simplified Arabic" w:hAnsi="Simplified Arabic" w:cs="Simplified Arabic"/>
          <w:lang w:val="en-GB"/>
        </w:rPr>
        <w:t>492</w:t>
      </w:r>
      <w:r w:rsidRPr="00753A7D">
        <w:rPr>
          <w:noProof/>
        </w:rPr>
        <w:t xml:space="preserve"> million was recorded in this account in 2020, representing an decrease of </w:t>
      </w:r>
      <w:r w:rsidR="00BD73D6" w:rsidRPr="00753A7D">
        <w:rPr>
          <w:noProof/>
        </w:rPr>
        <w:t>17.8</w:t>
      </w:r>
      <w:r w:rsidRPr="00753A7D">
        <w:rPr>
          <w:noProof/>
        </w:rPr>
        <w:t xml:space="preserve">% compared with 2019.  The surplus was caused mainly by the surplus in compensations of employees working in Israel. </w:t>
      </w:r>
    </w:p>
    <w:p w:rsidR="00971562" w:rsidRPr="00753A7D" w:rsidRDefault="00971562" w:rsidP="00BD73D6">
      <w:pPr>
        <w:pStyle w:val="BodyText2"/>
        <w:numPr>
          <w:ilvl w:val="0"/>
          <w:numId w:val="2"/>
        </w:numPr>
        <w:tabs>
          <w:tab w:val="num" w:pos="1211"/>
        </w:tabs>
        <w:overflowPunct/>
        <w:autoSpaceDE/>
        <w:autoSpaceDN/>
        <w:adjustRightInd/>
        <w:spacing w:after="120"/>
        <w:ind w:left="142" w:hanging="266"/>
        <w:textAlignment w:val="auto"/>
      </w:pPr>
      <w:r w:rsidRPr="00753A7D">
        <w:rPr>
          <w:b/>
          <w:bCs/>
          <w:szCs w:val="24"/>
        </w:rPr>
        <w:t>Balance of Current Transfers:</w:t>
      </w:r>
      <w:r w:rsidRPr="00753A7D">
        <w:rPr>
          <w:szCs w:val="24"/>
        </w:rPr>
        <w:t xml:space="preserve"> The balance of current transfers (voluntary or compulsory, not a result of an economic transaction) recorded a surplus of USD 1,</w:t>
      </w:r>
      <w:r w:rsidR="00BD73D6" w:rsidRPr="00753A7D">
        <w:rPr>
          <w:szCs w:val="24"/>
        </w:rPr>
        <w:t>285</w:t>
      </w:r>
      <w:r w:rsidRPr="00753A7D">
        <w:rPr>
          <w:szCs w:val="24"/>
          <w:lang w:val="en-GB"/>
        </w:rPr>
        <w:t xml:space="preserve"> </w:t>
      </w:r>
      <w:r w:rsidRPr="00753A7D">
        <w:rPr>
          <w:szCs w:val="24"/>
        </w:rPr>
        <w:t xml:space="preserve">million in 2020, reflecting </w:t>
      </w:r>
      <w:r w:rsidR="00BD73D6" w:rsidRPr="00753A7D">
        <w:rPr>
          <w:szCs w:val="24"/>
        </w:rPr>
        <w:t>a</w:t>
      </w:r>
      <w:r w:rsidRPr="00753A7D">
        <w:rPr>
          <w:szCs w:val="24"/>
        </w:rPr>
        <w:t xml:space="preserve"> </w:t>
      </w:r>
      <w:r w:rsidR="00BD73D6" w:rsidRPr="00753A7D">
        <w:rPr>
          <w:rFonts w:asciiTheme="majorBidi" w:hAnsiTheme="majorBidi" w:cstheme="majorBidi"/>
          <w:szCs w:val="24"/>
        </w:rPr>
        <w:t>de</w:t>
      </w:r>
      <w:r w:rsidRPr="00753A7D">
        <w:rPr>
          <w:rFonts w:asciiTheme="majorBidi" w:hAnsiTheme="majorBidi" w:cstheme="majorBidi"/>
          <w:szCs w:val="24"/>
        </w:rPr>
        <w:t xml:space="preserve">crease </w:t>
      </w:r>
      <w:r w:rsidRPr="00753A7D">
        <w:rPr>
          <w:szCs w:val="24"/>
        </w:rPr>
        <w:t xml:space="preserve">of </w:t>
      </w:r>
      <w:r w:rsidR="00BD73D6" w:rsidRPr="00753A7D">
        <w:rPr>
          <w:szCs w:val="24"/>
        </w:rPr>
        <w:t>24.0</w:t>
      </w:r>
      <w:r w:rsidRPr="00753A7D">
        <w:rPr>
          <w:szCs w:val="24"/>
        </w:rPr>
        <w:t>% compared with 2019, Current transfers by donors represented 22</w:t>
      </w:r>
      <w:r w:rsidR="00BD73D6" w:rsidRPr="00753A7D">
        <w:rPr>
          <w:szCs w:val="24"/>
        </w:rPr>
        <w:t>.4</w:t>
      </w:r>
      <w:r w:rsidRPr="00753A7D">
        <w:rPr>
          <w:szCs w:val="24"/>
        </w:rPr>
        <w:t>% of the total value of receipts from abroad (inflows to Palestine)</w:t>
      </w:r>
    </w:p>
    <w:p w:rsidR="00971562" w:rsidRPr="00753A7D" w:rsidRDefault="00971562" w:rsidP="00971562">
      <w:pPr>
        <w:pStyle w:val="Title"/>
        <w:bidi w:val="0"/>
        <w:ind w:left="-210" w:firstLine="210"/>
        <w:jc w:val="left"/>
        <w:rPr>
          <w:rFonts w:cs="Traditional Arabic"/>
          <w:sz w:val="20"/>
          <w:szCs w:val="20"/>
          <w:rtl/>
        </w:rPr>
      </w:pPr>
    </w:p>
    <w:p w:rsidR="004B0E12" w:rsidRPr="00753A7D" w:rsidRDefault="004B0E12">
      <w:pPr>
        <w:overflowPunct/>
        <w:autoSpaceDE/>
        <w:autoSpaceDN/>
        <w:adjustRightInd/>
        <w:textAlignment w:val="auto"/>
        <w:rPr>
          <w:rFonts w:cs="Traditional Arabic"/>
          <w:b/>
          <w:bCs/>
          <w:noProof/>
        </w:rPr>
      </w:pPr>
      <w:r w:rsidRPr="00753A7D">
        <w:rPr>
          <w:rFonts w:cs="Traditional Arabic"/>
        </w:rPr>
        <w:br w:type="page"/>
      </w:r>
    </w:p>
    <w:p w:rsidR="00971562" w:rsidRPr="00753A7D" w:rsidRDefault="00714094" w:rsidP="00307E71">
      <w:pPr>
        <w:pStyle w:val="Title"/>
        <w:bidi w:val="0"/>
        <w:ind w:left="-210" w:firstLine="210"/>
        <w:jc w:val="left"/>
        <w:rPr>
          <w:rFonts w:cs="Traditional Arabic"/>
          <w:sz w:val="20"/>
          <w:szCs w:val="20"/>
        </w:rPr>
      </w:pPr>
      <w:r w:rsidRPr="00753A7D">
        <w:rPr>
          <w:rFonts w:cs="Traditional Arabic"/>
          <w:sz w:val="20"/>
          <w:szCs w:val="20"/>
        </w:rPr>
        <w:lastRenderedPageBreak/>
        <w:t>21</w:t>
      </w:r>
      <w:r w:rsidR="00971562" w:rsidRPr="00753A7D">
        <w:rPr>
          <w:rFonts w:cs="Traditional Arabic"/>
          <w:sz w:val="20"/>
          <w:szCs w:val="20"/>
        </w:rPr>
        <w:t>.3 Capital and Financial Account</w:t>
      </w:r>
    </w:p>
    <w:p w:rsidR="00971562" w:rsidRPr="00753A7D" w:rsidRDefault="00971562" w:rsidP="008A3F2A">
      <w:pPr>
        <w:pStyle w:val="BodyText2"/>
        <w:numPr>
          <w:ilvl w:val="0"/>
          <w:numId w:val="2"/>
        </w:numPr>
        <w:overflowPunct/>
        <w:autoSpaceDE/>
        <w:autoSpaceDN/>
        <w:adjustRightInd/>
        <w:spacing w:after="120"/>
        <w:ind w:left="266" w:hanging="266"/>
        <w:textAlignment w:val="auto"/>
        <w:rPr>
          <w:noProof/>
        </w:rPr>
      </w:pPr>
      <w:r w:rsidRPr="00753A7D">
        <w:rPr>
          <w:noProof/>
        </w:rPr>
        <w:t xml:space="preserve">This account recorded a surplus of USD </w:t>
      </w:r>
      <w:r w:rsidRPr="00753A7D">
        <w:rPr>
          <w:rFonts w:hint="cs"/>
          <w:noProof/>
          <w:rtl/>
        </w:rPr>
        <w:t>1</w:t>
      </w:r>
      <w:r w:rsidRPr="00753A7D">
        <w:rPr>
          <w:noProof/>
        </w:rPr>
        <w:t>,</w:t>
      </w:r>
      <w:r w:rsidR="008A3F2A" w:rsidRPr="00753A7D">
        <w:rPr>
          <w:noProof/>
        </w:rPr>
        <w:t>334.2</w:t>
      </w:r>
      <w:r w:rsidRPr="00753A7D">
        <w:rPr>
          <w:noProof/>
        </w:rPr>
        <w:t xml:space="preserve"> million in 20</w:t>
      </w:r>
      <w:r w:rsidRPr="00753A7D">
        <w:rPr>
          <w:rFonts w:hint="cs"/>
          <w:noProof/>
          <w:rtl/>
        </w:rPr>
        <w:t>20</w:t>
      </w:r>
      <w:r w:rsidRPr="00753A7D">
        <w:rPr>
          <w:noProof/>
        </w:rPr>
        <w:t xml:space="preserve">, mainly due to the surplus in the financial account (direct investments, portfolio investments, other investments and reserve assets), which totaled USD </w:t>
      </w:r>
      <w:r w:rsidR="008A3F2A" w:rsidRPr="00753A7D">
        <w:rPr>
          <w:rFonts w:hint="cs"/>
          <w:noProof/>
          <w:rtl/>
        </w:rPr>
        <w:t>902.8</w:t>
      </w:r>
      <w:r w:rsidRPr="00753A7D">
        <w:rPr>
          <w:noProof/>
        </w:rPr>
        <w:t xml:space="preserve"> million as a result of the surplus in currency and deposits in other investments. </w:t>
      </w:r>
    </w:p>
    <w:p w:rsidR="00971562" w:rsidRPr="00FC2145" w:rsidRDefault="00971562" w:rsidP="00714094">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the balance of payments, see the tables in chapter 1.</w:t>
      </w:r>
      <w:r w:rsidR="00714094">
        <w:rPr>
          <w:rFonts w:cs="Times New Roman"/>
          <w:b/>
          <w:bCs/>
          <w:i/>
          <w:iCs/>
          <w:sz w:val="18"/>
          <w:szCs w:val="18"/>
          <w:u w:val="single"/>
        </w:rPr>
        <w:t>21</w:t>
      </w:r>
      <w:r w:rsidRPr="00FC2145">
        <w:rPr>
          <w:rFonts w:cs="Times New Roman"/>
          <w:b/>
          <w:bCs/>
          <w:i/>
          <w:iCs/>
          <w:sz w:val="18"/>
          <w:szCs w:val="18"/>
          <w:u w:val="single"/>
        </w:rPr>
        <w:t xml:space="preserve"> of the Arabic section, pages </w:t>
      </w:r>
      <w:r w:rsidR="00714094">
        <w:rPr>
          <w:rFonts w:cs="Times New Roman"/>
          <w:b/>
          <w:bCs/>
          <w:i/>
          <w:iCs/>
          <w:sz w:val="18"/>
          <w:szCs w:val="18"/>
          <w:u w:val="single"/>
        </w:rPr>
        <w:t>171</w:t>
      </w:r>
      <w:r w:rsidRPr="00FC2145">
        <w:rPr>
          <w:rFonts w:cs="Times New Roman"/>
          <w:b/>
          <w:bCs/>
          <w:i/>
          <w:iCs/>
          <w:sz w:val="18"/>
          <w:szCs w:val="18"/>
          <w:u w:val="single"/>
        </w:rPr>
        <w:t>-</w:t>
      </w:r>
      <w:r w:rsidR="00714094">
        <w:rPr>
          <w:rFonts w:cs="Times New Roman"/>
          <w:b/>
          <w:bCs/>
          <w:i/>
          <w:iCs/>
          <w:sz w:val="18"/>
          <w:szCs w:val="18"/>
          <w:u w:val="single"/>
        </w:rPr>
        <w:t>174</w:t>
      </w:r>
      <w:r w:rsidRPr="00FC2145">
        <w:rPr>
          <w:rFonts w:cs="Times New Roman"/>
          <w:b/>
          <w:bCs/>
          <w:i/>
          <w:iCs/>
          <w:sz w:val="18"/>
          <w:szCs w:val="18"/>
          <w:u w:val="single"/>
        </w:rPr>
        <w:t>.</w:t>
      </w:r>
    </w:p>
    <w:p w:rsidR="00971562" w:rsidRPr="00C561F1" w:rsidRDefault="00971562" w:rsidP="00971562">
      <w:pPr>
        <w:pStyle w:val="Title"/>
        <w:bidi w:val="0"/>
        <w:jc w:val="left"/>
        <w:rPr>
          <w:rFonts w:cs="Traditional Arabic"/>
          <w:sz w:val="10"/>
          <w:szCs w:val="10"/>
        </w:rPr>
      </w:pPr>
    </w:p>
    <w:p w:rsidR="00971562" w:rsidRPr="00FC2145" w:rsidRDefault="00971562" w:rsidP="00307E71">
      <w:pPr>
        <w:pStyle w:val="Title"/>
        <w:numPr>
          <w:ilvl w:val="0"/>
          <w:numId w:val="19"/>
        </w:numPr>
        <w:tabs>
          <w:tab w:val="right" w:pos="308"/>
        </w:tabs>
        <w:bidi w:val="0"/>
        <w:jc w:val="left"/>
        <w:rPr>
          <w:rFonts w:cs="Traditional Arabic"/>
          <w:sz w:val="20"/>
          <w:szCs w:val="20"/>
        </w:rPr>
      </w:pPr>
      <w:r w:rsidRPr="00FC2145">
        <w:rPr>
          <w:rFonts w:cs="Traditional Arabic"/>
          <w:sz w:val="20"/>
          <w:szCs w:val="20"/>
        </w:rPr>
        <w:t xml:space="preserve"> Finance and Insurance </w:t>
      </w:r>
    </w:p>
    <w:p w:rsidR="00B2504B" w:rsidRPr="00FC2145" w:rsidRDefault="00B2504B" w:rsidP="00AA00F9">
      <w:pPr>
        <w:pStyle w:val="BodyText2"/>
        <w:numPr>
          <w:ilvl w:val="0"/>
          <w:numId w:val="2"/>
        </w:numPr>
        <w:overflowPunct/>
        <w:autoSpaceDE/>
        <w:autoSpaceDN/>
        <w:adjustRightInd/>
        <w:spacing w:after="120"/>
        <w:textAlignment w:val="auto"/>
        <w:rPr>
          <w:noProof/>
        </w:rPr>
      </w:pPr>
      <w:r w:rsidRPr="00FC2145">
        <w:rPr>
          <w:noProof/>
        </w:rPr>
        <w:t xml:space="preserve">There were </w:t>
      </w:r>
      <w:r w:rsidR="003A5309" w:rsidRPr="00FC2145">
        <w:rPr>
          <w:noProof/>
        </w:rPr>
        <w:t>13,94</w:t>
      </w:r>
      <w:r w:rsidR="00AA00F9">
        <w:rPr>
          <w:noProof/>
        </w:rPr>
        <w:t>9</w:t>
      </w:r>
      <w:r w:rsidRPr="00FC2145">
        <w:rPr>
          <w:noProof/>
        </w:rPr>
        <w:t xml:space="preserve"> employed persons in financial intermediation enterprises in </w:t>
      </w:r>
      <w:r w:rsidRPr="00FC2145">
        <w:rPr>
          <w:rFonts w:hint="cs"/>
          <w:noProof/>
          <w:rtl/>
        </w:rPr>
        <w:t>2020</w:t>
      </w:r>
      <w:r w:rsidRPr="00FC2145">
        <w:rPr>
          <w:noProof/>
        </w:rPr>
        <w:t>.</w:t>
      </w:r>
    </w:p>
    <w:p w:rsidR="00B2504B" w:rsidRPr="00FC2145" w:rsidRDefault="00B2504B" w:rsidP="00B2504B">
      <w:pPr>
        <w:pStyle w:val="BodyText2"/>
        <w:numPr>
          <w:ilvl w:val="0"/>
          <w:numId w:val="2"/>
        </w:numPr>
        <w:overflowPunct/>
        <w:autoSpaceDE/>
        <w:autoSpaceDN/>
        <w:adjustRightInd/>
        <w:spacing w:after="120"/>
        <w:textAlignment w:val="auto"/>
        <w:rPr>
          <w:noProof/>
        </w:rPr>
      </w:pPr>
      <w:r w:rsidRPr="00FC2145">
        <w:rPr>
          <w:noProof/>
        </w:rPr>
        <w:t xml:space="preserve">The value of output in financial intermediation enterprises was USD </w:t>
      </w:r>
      <w:r w:rsidRPr="00FC2145">
        <w:rPr>
          <w:rFonts w:hint="cs"/>
          <w:noProof/>
          <w:rtl/>
        </w:rPr>
        <w:t>1,000.4</w:t>
      </w:r>
      <w:r w:rsidRPr="00FC2145">
        <w:rPr>
          <w:noProof/>
        </w:rPr>
        <w:t xml:space="preserve"> million in </w:t>
      </w:r>
      <w:r w:rsidRPr="00FC2145">
        <w:rPr>
          <w:rFonts w:hint="cs"/>
          <w:noProof/>
          <w:rtl/>
        </w:rPr>
        <w:t>2020</w:t>
      </w:r>
      <w:r w:rsidRPr="00FC2145">
        <w:rPr>
          <w:noProof/>
        </w:rPr>
        <w:t>.</w:t>
      </w:r>
    </w:p>
    <w:p w:rsidR="00B2504B" w:rsidRPr="00FC2145" w:rsidRDefault="00B2504B" w:rsidP="00B2504B">
      <w:pPr>
        <w:pStyle w:val="BodyText2"/>
        <w:numPr>
          <w:ilvl w:val="0"/>
          <w:numId w:val="2"/>
        </w:numPr>
        <w:overflowPunct/>
        <w:autoSpaceDE/>
        <w:autoSpaceDN/>
        <w:adjustRightInd/>
        <w:spacing w:after="120"/>
        <w:textAlignment w:val="auto"/>
        <w:rPr>
          <w:noProof/>
        </w:rPr>
      </w:pPr>
      <w:r w:rsidRPr="00FC2145">
        <w:rPr>
          <w:noProof/>
        </w:rPr>
        <w:t xml:space="preserve">The value of intermediate consumption in financial intermediation enterprises was USD </w:t>
      </w:r>
      <w:r w:rsidRPr="00FC2145">
        <w:rPr>
          <w:rFonts w:hint="cs"/>
          <w:noProof/>
          <w:rtl/>
        </w:rPr>
        <w:t>284.4</w:t>
      </w:r>
      <w:r w:rsidRPr="00FC2145">
        <w:rPr>
          <w:noProof/>
        </w:rPr>
        <w:t xml:space="preserve">  million in </w:t>
      </w:r>
      <w:r w:rsidRPr="00FC2145">
        <w:rPr>
          <w:rFonts w:hint="cs"/>
          <w:noProof/>
          <w:rtl/>
        </w:rPr>
        <w:t>2020</w:t>
      </w:r>
      <w:r w:rsidRPr="00FC2145">
        <w:rPr>
          <w:noProof/>
        </w:rPr>
        <w:t xml:space="preserve">. </w:t>
      </w:r>
    </w:p>
    <w:p w:rsidR="00B2504B" w:rsidRPr="00FC2145" w:rsidRDefault="00B2504B" w:rsidP="00B2504B">
      <w:pPr>
        <w:pStyle w:val="BodyText2"/>
        <w:numPr>
          <w:ilvl w:val="0"/>
          <w:numId w:val="2"/>
        </w:numPr>
        <w:overflowPunct/>
        <w:autoSpaceDE/>
        <w:autoSpaceDN/>
        <w:adjustRightInd/>
        <w:spacing w:after="120"/>
        <w:textAlignment w:val="auto"/>
        <w:rPr>
          <w:noProof/>
        </w:rPr>
      </w:pPr>
      <w:r w:rsidRPr="00FC2145">
        <w:rPr>
          <w:noProof/>
        </w:rPr>
        <w:t xml:space="preserve">The gross value added in financial intermediation enterprises was USD </w:t>
      </w:r>
      <w:r w:rsidRPr="00FC2145">
        <w:rPr>
          <w:rFonts w:hint="cs"/>
          <w:noProof/>
          <w:rtl/>
        </w:rPr>
        <w:t>716.0</w:t>
      </w:r>
      <w:r w:rsidRPr="00FC2145">
        <w:rPr>
          <w:noProof/>
        </w:rPr>
        <w:t xml:space="preserve"> million in </w:t>
      </w:r>
      <w:r w:rsidRPr="00FC2145">
        <w:rPr>
          <w:rFonts w:hint="cs"/>
          <w:noProof/>
          <w:rtl/>
        </w:rPr>
        <w:t>2020</w:t>
      </w:r>
      <w:r w:rsidRPr="00FC2145">
        <w:rPr>
          <w:noProof/>
        </w:rPr>
        <w:t xml:space="preserve">.  </w:t>
      </w:r>
    </w:p>
    <w:p w:rsidR="00971562" w:rsidRPr="00FC2145" w:rsidRDefault="00971562" w:rsidP="00714094">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finance and insurance, see the tables in chapter 1.</w:t>
      </w:r>
      <w:r w:rsidR="00714094">
        <w:rPr>
          <w:rFonts w:cs="Times New Roman"/>
          <w:b/>
          <w:bCs/>
          <w:i/>
          <w:iCs/>
          <w:sz w:val="18"/>
          <w:szCs w:val="18"/>
          <w:u w:val="single"/>
        </w:rPr>
        <w:t>22</w:t>
      </w:r>
      <w:r w:rsidRPr="00FC2145">
        <w:rPr>
          <w:rFonts w:cs="Times New Roman"/>
          <w:b/>
          <w:bCs/>
          <w:i/>
          <w:iCs/>
          <w:sz w:val="18"/>
          <w:szCs w:val="18"/>
          <w:u w:val="single"/>
        </w:rPr>
        <w:t xml:space="preserve"> of the Arabic section, pages</w:t>
      </w:r>
      <w:r w:rsidRPr="00FC2145">
        <w:rPr>
          <w:rFonts w:cs="Times New Roman"/>
          <w:b/>
          <w:bCs/>
          <w:i/>
          <w:iCs/>
          <w:sz w:val="18"/>
          <w:szCs w:val="18"/>
          <w:u w:val="single"/>
          <w:rtl/>
        </w:rPr>
        <w:t xml:space="preserve"> </w:t>
      </w:r>
      <w:r w:rsidR="00714094">
        <w:rPr>
          <w:rFonts w:cs="Times New Roman"/>
          <w:b/>
          <w:bCs/>
          <w:i/>
          <w:iCs/>
          <w:sz w:val="18"/>
          <w:szCs w:val="18"/>
          <w:u w:val="single"/>
        </w:rPr>
        <w:t>175</w:t>
      </w:r>
      <w:r w:rsidRPr="00FC2145">
        <w:rPr>
          <w:rFonts w:cs="Times New Roman"/>
          <w:b/>
          <w:bCs/>
          <w:i/>
          <w:iCs/>
          <w:sz w:val="18"/>
          <w:szCs w:val="18"/>
          <w:u w:val="single"/>
        </w:rPr>
        <w:t>-</w:t>
      </w:r>
      <w:r w:rsidR="00714094">
        <w:rPr>
          <w:rFonts w:cs="Times New Roman"/>
          <w:b/>
          <w:bCs/>
          <w:i/>
          <w:iCs/>
          <w:sz w:val="18"/>
          <w:szCs w:val="18"/>
          <w:u w:val="single"/>
        </w:rPr>
        <w:t>176</w:t>
      </w:r>
      <w:r w:rsidRPr="00FC2145">
        <w:rPr>
          <w:rFonts w:cs="Times New Roman"/>
          <w:b/>
          <w:bCs/>
          <w:i/>
          <w:iCs/>
          <w:sz w:val="18"/>
          <w:szCs w:val="18"/>
          <w:u w:val="single"/>
        </w:rPr>
        <w:t>.</w:t>
      </w:r>
    </w:p>
    <w:p w:rsidR="00971562" w:rsidRPr="00C561F1" w:rsidRDefault="00971562" w:rsidP="00971562">
      <w:pPr>
        <w:pStyle w:val="ListParagraph"/>
        <w:bidi w:val="0"/>
        <w:ind w:left="0"/>
        <w:jc w:val="lowKashida"/>
        <w:rPr>
          <w:rFonts w:cs="Times New Roman"/>
          <w:b/>
          <w:bCs/>
          <w:i/>
          <w:iCs/>
          <w:sz w:val="12"/>
          <w:szCs w:val="12"/>
          <w:u w:val="single"/>
        </w:rPr>
      </w:pPr>
    </w:p>
    <w:p w:rsidR="00971562" w:rsidRPr="00FC2145" w:rsidRDefault="00971562" w:rsidP="00307E71">
      <w:pPr>
        <w:pStyle w:val="Title"/>
        <w:numPr>
          <w:ilvl w:val="0"/>
          <w:numId w:val="19"/>
        </w:numPr>
        <w:tabs>
          <w:tab w:val="right" w:pos="308"/>
        </w:tabs>
        <w:bidi w:val="0"/>
        <w:jc w:val="left"/>
        <w:rPr>
          <w:rFonts w:cs="Traditional Arabic"/>
          <w:sz w:val="20"/>
          <w:szCs w:val="20"/>
        </w:rPr>
      </w:pPr>
      <w:r w:rsidRPr="00FC2145">
        <w:rPr>
          <w:rFonts w:cs="Traditional Arabic"/>
          <w:sz w:val="20"/>
          <w:szCs w:val="20"/>
        </w:rPr>
        <w:t xml:space="preserve"> International Investment Position</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International Investment Position (external assets – foreign liabilities) for Palestine at the end of 20</w:t>
      </w:r>
      <w:r w:rsidRPr="00FC2145">
        <w:rPr>
          <w:rFonts w:hint="cs"/>
          <w:noProof/>
          <w:rtl/>
        </w:rPr>
        <w:t>20</w:t>
      </w:r>
      <w:r w:rsidRPr="00FC2145">
        <w:rPr>
          <w:noProof/>
        </w:rPr>
        <w:t xml:space="preserve"> revealed that the net IIP amounted to about USD 2,799 million, which means that the Palestinian economy’s investments outside Palestine outweigh investments in Palestine from abroad.  </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 xml:space="preserve">The total stocks of External Assets for Palestine amounted to USD 8,223 million, the Foreign Direct Investment abroad contributed to </w:t>
      </w:r>
      <w:r w:rsidRPr="00FC2145">
        <w:rPr>
          <w:rFonts w:hint="cs"/>
          <w:noProof/>
          <w:rtl/>
        </w:rPr>
        <w:t>4</w:t>
      </w:r>
      <w:r w:rsidRPr="00FC2145">
        <w:rPr>
          <w:noProof/>
        </w:rPr>
        <w:t xml:space="preserve">%, Portfolio Investments abroad reached </w:t>
      </w:r>
      <w:r w:rsidRPr="00FC2145">
        <w:rPr>
          <w:rFonts w:hint="cs"/>
          <w:noProof/>
          <w:rtl/>
        </w:rPr>
        <w:t>1</w:t>
      </w:r>
      <w:r w:rsidRPr="00FC2145">
        <w:rPr>
          <w:noProof/>
        </w:rPr>
        <w:t xml:space="preserve">8%, while Other Foreign Investments abroad (mainly currency and deposits) reached 70% and Reserve Assets amounted to 8%.  At sector level, the external investments of banks sector represented a large share of the external assets, standing at </w:t>
      </w:r>
      <w:r w:rsidRPr="00FC2145">
        <w:rPr>
          <w:rFonts w:hint="cs"/>
          <w:noProof/>
          <w:rtl/>
        </w:rPr>
        <w:t>7</w:t>
      </w:r>
      <w:r w:rsidRPr="00FC2145">
        <w:rPr>
          <w:noProof/>
        </w:rPr>
        <w:t>3% of the total value of external assets.</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 xml:space="preserve">The total stocks of Foreign Liabilities in Palestine (Stocks of non-residents invested in Palestine) amounted to USD 5,424 million. The Foreign Direct Investment in Palestine contributed to </w:t>
      </w:r>
      <w:r w:rsidRPr="00FC2145">
        <w:rPr>
          <w:rFonts w:hint="cs"/>
          <w:noProof/>
          <w:rtl/>
        </w:rPr>
        <w:t>5</w:t>
      </w:r>
      <w:r w:rsidRPr="00FC2145">
        <w:rPr>
          <w:noProof/>
        </w:rPr>
        <w:t xml:space="preserve">0%, Portfolio Investments in Palestine reached </w:t>
      </w:r>
      <w:r w:rsidRPr="00FC2145">
        <w:rPr>
          <w:rFonts w:hint="cs"/>
          <w:noProof/>
          <w:rtl/>
        </w:rPr>
        <w:t>1</w:t>
      </w:r>
      <w:r w:rsidRPr="00FC2145">
        <w:rPr>
          <w:noProof/>
        </w:rPr>
        <w:t xml:space="preserve">2% and Other Investments in Palestine (mainly loans and deposits from abroad) amounted to </w:t>
      </w:r>
      <w:r w:rsidRPr="00FC2145">
        <w:rPr>
          <w:rFonts w:hint="cs"/>
          <w:noProof/>
          <w:rtl/>
        </w:rPr>
        <w:t>3</w:t>
      </w:r>
      <w:r w:rsidRPr="00FC2145">
        <w:rPr>
          <w:noProof/>
        </w:rPr>
        <w:t xml:space="preserve">8%.  According to sectoral level, the foreign investments in banks sector contributed a major value in the foreign liabilities, represented by </w:t>
      </w:r>
      <w:r w:rsidRPr="00FC2145">
        <w:rPr>
          <w:rFonts w:hint="cs"/>
          <w:noProof/>
          <w:rtl/>
        </w:rPr>
        <w:t>3</w:t>
      </w:r>
      <w:r w:rsidRPr="00FC2145">
        <w:rPr>
          <w:noProof/>
        </w:rPr>
        <w:t>6% of the total value of foreign liabilities on the Palestinian economy.</w:t>
      </w:r>
    </w:p>
    <w:p w:rsidR="00971562" w:rsidRPr="00FC2145" w:rsidRDefault="00971562" w:rsidP="00971562">
      <w:pPr>
        <w:pStyle w:val="BodyText2"/>
        <w:numPr>
          <w:ilvl w:val="0"/>
          <w:numId w:val="2"/>
        </w:numPr>
        <w:overflowPunct/>
        <w:autoSpaceDE/>
        <w:autoSpaceDN/>
        <w:adjustRightInd/>
        <w:spacing w:after="120"/>
        <w:ind w:left="266" w:hanging="266"/>
        <w:textAlignment w:val="auto"/>
        <w:rPr>
          <w:noProof/>
        </w:rPr>
      </w:pPr>
      <w:r w:rsidRPr="00FC2145">
        <w:rPr>
          <w:noProof/>
        </w:rPr>
        <w:t>The Gross External Debt on different sectors of the Palestinian economy reached USD 2,069 million</w:t>
      </w:r>
      <w:r w:rsidRPr="00FC2145">
        <w:rPr>
          <w:rFonts w:hint="cs"/>
          <w:noProof/>
          <w:rtl/>
        </w:rPr>
        <w:t xml:space="preserve"> </w:t>
      </w:r>
      <w:r w:rsidRPr="00FC2145">
        <w:rPr>
          <w:noProof/>
        </w:rPr>
        <w:t xml:space="preserve">increased by 5% compared with previous year.  The debt on government sector represented </w:t>
      </w:r>
      <w:r w:rsidRPr="00FC2145">
        <w:rPr>
          <w:rFonts w:hint="cs"/>
          <w:noProof/>
          <w:rtl/>
        </w:rPr>
        <w:t>6</w:t>
      </w:r>
      <w:r w:rsidRPr="00FC2145">
        <w:rPr>
          <w:noProof/>
        </w:rPr>
        <w:t xml:space="preserve">4%, while debt on banks sector reached </w:t>
      </w:r>
      <w:r w:rsidRPr="00FC2145">
        <w:rPr>
          <w:rFonts w:hint="cs"/>
          <w:noProof/>
          <w:rtl/>
        </w:rPr>
        <w:t>3</w:t>
      </w:r>
      <w:r w:rsidRPr="00FC2145">
        <w:rPr>
          <w:noProof/>
        </w:rPr>
        <w:t>3%, and debt on other sectors (Nonbank financial corporations, non-financial corporations, NGOs and households sectors) amounted to 2%, and the lending between affiliated companies reached 1%.</w:t>
      </w:r>
    </w:p>
    <w:p w:rsidR="00971562" w:rsidRPr="00FC2145" w:rsidRDefault="00971562" w:rsidP="00714094">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details on the  international investment position, see the table in chapter 1.</w:t>
      </w:r>
      <w:r w:rsidR="00714094">
        <w:rPr>
          <w:rFonts w:cs="Times New Roman"/>
          <w:b/>
          <w:bCs/>
          <w:i/>
          <w:iCs/>
          <w:sz w:val="18"/>
          <w:szCs w:val="18"/>
          <w:u w:val="single"/>
        </w:rPr>
        <w:t>23</w:t>
      </w:r>
      <w:r w:rsidRPr="00FC2145">
        <w:rPr>
          <w:rFonts w:cs="Times New Roman"/>
          <w:b/>
          <w:bCs/>
          <w:i/>
          <w:iCs/>
          <w:sz w:val="18"/>
          <w:szCs w:val="18"/>
          <w:u w:val="single"/>
        </w:rPr>
        <w:t xml:space="preserve"> of the Arabic section, pages</w:t>
      </w:r>
      <w:r w:rsidR="00C561F1">
        <w:rPr>
          <w:rFonts w:cs="Times New Roman"/>
          <w:b/>
          <w:bCs/>
          <w:i/>
          <w:iCs/>
          <w:sz w:val="18"/>
          <w:szCs w:val="18"/>
          <w:u w:val="single"/>
        </w:rPr>
        <w:t xml:space="preserve"> </w:t>
      </w:r>
      <w:r w:rsidR="00714094">
        <w:rPr>
          <w:rFonts w:cs="Times New Roman"/>
          <w:b/>
          <w:bCs/>
          <w:i/>
          <w:iCs/>
          <w:sz w:val="18"/>
          <w:szCs w:val="18"/>
          <w:u w:val="single"/>
        </w:rPr>
        <w:t>177</w:t>
      </w:r>
      <w:r w:rsidR="00C561F1">
        <w:rPr>
          <w:rFonts w:cs="Times New Roman"/>
          <w:b/>
          <w:bCs/>
          <w:i/>
          <w:iCs/>
          <w:sz w:val="18"/>
          <w:szCs w:val="18"/>
          <w:u w:val="single"/>
        </w:rPr>
        <w:t xml:space="preserve"> </w:t>
      </w:r>
      <w:r w:rsidRPr="00FC2145">
        <w:rPr>
          <w:rFonts w:cs="Times New Roman"/>
          <w:b/>
          <w:bCs/>
          <w:i/>
          <w:iCs/>
          <w:sz w:val="18"/>
          <w:szCs w:val="18"/>
          <w:u w:val="single"/>
        </w:rPr>
        <w:t>-</w:t>
      </w:r>
      <w:r w:rsidR="00714094">
        <w:rPr>
          <w:rFonts w:cs="Times New Roman"/>
          <w:b/>
          <w:bCs/>
          <w:i/>
          <w:iCs/>
          <w:sz w:val="18"/>
          <w:szCs w:val="18"/>
          <w:u w:val="single"/>
        </w:rPr>
        <w:t>180</w:t>
      </w:r>
    </w:p>
    <w:p w:rsidR="00971562" w:rsidRPr="00714094" w:rsidRDefault="00971562" w:rsidP="00307E71">
      <w:pPr>
        <w:pStyle w:val="ListParagraph"/>
        <w:numPr>
          <w:ilvl w:val="0"/>
          <w:numId w:val="19"/>
        </w:numPr>
        <w:bidi w:val="0"/>
        <w:jc w:val="lowKashida"/>
        <w:rPr>
          <w:b/>
          <w:bCs/>
          <w:sz w:val="20"/>
          <w:szCs w:val="16"/>
        </w:rPr>
      </w:pPr>
      <w:r w:rsidRPr="00714094">
        <w:rPr>
          <w:b/>
          <w:bCs/>
          <w:sz w:val="20"/>
          <w:szCs w:val="16"/>
        </w:rPr>
        <w:lastRenderedPageBreak/>
        <w:t>Satellite Accounts</w:t>
      </w:r>
    </w:p>
    <w:p w:rsidR="00971562" w:rsidRPr="00FC2145" w:rsidRDefault="00714094" w:rsidP="00971562">
      <w:pPr>
        <w:jc w:val="lowKashida"/>
        <w:textAlignment w:val="auto"/>
        <w:rPr>
          <w:b/>
          <w:bCs/>
        </w:rPr>
      </w:pPr>
      <w:r>
        <w:rPr>
          <w:b/>
          <w:bCs/>
        </w:rPr>
        <w:t>24</w:t>
      </w:r>
      <w:r w:rsidR="00307E71" w:rsidRPr="00FC2145">
        <w:rPr>
          <w:b/>
          <w:bCs/>
        </w:rPr>
        <w:t>.1</w:t>
      </w:r>
      <w:r w:rsidR="00971562" w:rsidRPr="00FC2145">
        <w:rPr>
          <w:b/>
          <w:bCs/>
        </w:rPr>
        <w:t xml:space="preserve"> Palestinian Health Accounts</w:t>
      </w:r>
    </w:p>
    <w:p w:rsidR="00971562" w:rsidRPr="00FC2145" w:rsidRDefault="00971562" w:rsidP="00971562">
      <w:pPr>
        <w:numPr>
          <w:ilvl w:val="0"/>
          <w:numId w:val="1"/>
        </w:numPr>
        <w:ind w:left="714" w:hanging="350"/>
        <w:jc w:val="both"/>
        <w:textAlignment w:val="auto"/>
        <w:rPr>
          <w:noProof/>
        </w:rPr>
      </w:pPr>
      <w:r w:rsidRPr="00FC2145">
        <w:rPr>
          <w:noProof/>
        </w:rPr>
        <w:t xml:space="preserve">The total current expenditure on health totaled </w:t>
      </w:r>
      <w:r w:rsidRPr="00FC2145">
        <w:t>USD 1,573.8</w:t>
      </w:r>
      <w:r w:rsidRPr="00FC2145">
        <w:rPr>
          <w:rtl/>
        </w:rPr>
        <w:t xml:space="preserve"> </w:t>
      </w:r>
      <w:r w:rsidRPr="00FC2145">
        <w:rPr>
          <w:noProof/>
        </w:rPr>
        <w:t xml:space="preserve">million in </w:t>
      </w:r>
      <w:r w:rsidRPr="00FC2145">
        <w:rPr>
          <w:rFonts w:hint="cs"/>
          <w:noProof/>
          <w:rtl/>
        </w:rPr>
        <w:t>2019</w:t>
      </w:r>
      <w:r w:rsidRPr="00FC2145">
        <w:rPr>
          <w:noProof/>
        </w:rPr>
        <w:t>.</w:t>
      </w:r>
    </w:p>
    <w:p w:rsidR="00971562" w:rsidRPr="00FC2145" w:rsidRDefault="00971562" w:rsidP="00971562">
      <w:pPr>
        <w:numPr>
          <w:ilvl w:val="0"/>
          <w:numId w:val="1"/>
        </w:numPr>
        <w:ind w:left="714" w:hanging="350"/>
        <w:jc w:val="both"/>
        <w:textAlignment w:val="auto"/>
        <w:rPr>
          <w:noProof/>
        </w:rPr>
      </w:pPr>
      <w:r w:rsidRPr="00FC2145">
        <w:t>The percentage of current health expenditure to Gross Domestic Product (GDP) in Palestine at current prices was 9.2% in 2019 and 9.7% in 2018.</w:t>
      </w:r>
    </w:p>
    <w:p w:rsidR="00971562" w:rsidRPr="00FC2145" w:rsidRDefault="00971562" w:rsidP="00971562">
      <w:pPr>
        <w:overflowPunct/>
        <w:autoSpaceDE/>
        <w:autoSpaceDN/>
        <w:adjustRightInd/>
        <w:ind w:left="360"/>
        <w:jc w:val="both"/>
        <w:textAlignment w:val="auto"/>
        <w:rPr>
          <w:noProof/>
          <w:rtl/>
        </w:rPr>
      </w:pPr>
    </w:p>
    <w:p w:rsidR="00971562" w:rsidRPr="00FC2145" w:rsidRDefault="00714094" w:rsidP="00307E71">
      <w:pPr>
        <w:jc w:val="lowKashida"/>
        <w:textAlignment w:val="auto"/>
        <w:rPr>
          <w:b/>
          <w:bCs/>
        </w:rPr>
      </w:pPr>
      <w:r>
        <w:rPr>
          <w:b/>
          <w:bCs/>
        </w:rPr>
        <w:t>24</w:t>
      </w:r>
      <w:r w:rsidR="00971562" w:rsidRPr="00FC2145">
        <w:rPr>
          <w:b/>
          <w:bCs/>
        </w:rPr>
        <w:t xml:space="preserve">.2 </w:t>
      </w:r>
      <w:proofErr w:type="spellStart"/>
      <w:r w:rsidR="00971562" w:rsidRPr="00FC2145">
        <w:rPr>
          <w:b/>
          <w:bCs/>
        </w:rPr>
        <w:t>Tourisim</w:t>
      </w:r>
      <w:proofErr w:type="spellEnd"/>
      <w:r w:rsidR="00971562" w:rsidRPr="00FC2145">
        <w:rPr>
          <w:b/>
          <w:bCs/>
        </w:rPr>
        <w:t xml:space="preserve"> Satellite Accounts:</w:t>
      </w:r>
    </w:p>
    <w:p w:rsidR="00971562" w:rsidRPr="00FC2145" w:rsidRDefault="00971562" w:rsidP="00971562">
      <w:pPr>
        <w:numPr>
          <w:ilvl w:val="0"/>
          <w:numId w:val="1"/>
        </w:numPr>
        <w:ind w:left="714" w:hanging="350"/>
        <w:jc w:val="both"/>
        <w:textAlignment w:val="auto"/>
        <w:rPr>
          <w:noProof/>
        </w:rPr>
      </w:pPr>
      <w:r w:rsidRPr="00FC2145">
        <w:rPr>
          <w:noProof/>
        </w:rPr>
        <w:t>The consumption on inbound tourism totaled USD 1,</w:t>
      </w:r>
      <w:r w:rsidRPr="00FC2145">
        <w:rPr>
          <w:rFonts w:hint="cs"/>
          <w:noProof/>
          <w:rtl/>
        </w:rPr>
        <w:t>304</w:t>
      </w:r>
      <w:r w:rsidRPr="00FC2145">
        <w:rPr>
          <w:noProof/>
        </w:rPr>
        <w:t xml:space="preserve">.8 million in the year </w:t>
      </w:r>
      <w:r w:rsidRPr="00FC2145">
        <w:rPr>
          <w:rFonts w:hint="cs"/>
          <w:noProof/>
          <w:rtl/>
        </w:rPr>
        <w:t>2019</w:t>
      </w:r>
      <w:r w:rsidRPr="00FC2145">
        <w:rPr>
          <w:noProof/>
        </w:rPr>
        <w:t xml:space="preserve">.            </w:t>
      </w:r>
    </w:p>
    <w:p w:rsidR="00971562" w:rsidRPr="00FC2145" w:rsidRDefault="00971562" w:rsidP="00971562">
      <w:pPr>
        <w:numPr>
          <w:ilvl w:val="0"/>
          <w:numId w:val="1"/>
        </w:numPr>
        <w:ind w:left="714" w:hanging="350"/>
        <w:jc w:val="both"/>
        <w:textAlignment w:val="auto"/>
        <w:rPr>
          <w:noProof/>
        </w:rPr>
      </w:pPr>
      <w:r w:rsidRPr="00FC2145">
        <w:rPr>
          <w:noProof/>
        </w:rPr>
        <w:t xml:space="preserve">The expenditure on domestic tourism totaled USD </w:t>
      </w:r>
      <w:r w:rsidRPr="00FC2145">
        <w:rPr>
          <w:rFonts w:hint="cs"/>
          <w:noProof/>
          <w:rtl/>
        </w:rPr>
        <w:t xml:space="preserve">159.2 </w:t>
      </w:r>
      <w:r w:rsidR="00AA00F9">
        <w:rPr>
          <w:noProof/>
        </w:rPr>
        <w:t xml:space="preserve"> </w:t>
      </w:r>
      <w:r w:rsidRPr="00FC2145">
        <w:rPr>
          <w:noProof/>
        </w:rPr>
        <w:t>million in the year 201</w:t>
      </w:r>
      <w:r w:rsidRPr="00FC2145">
        <w:rPr>
          <w:rFonts w:hint="cs"/>
          <w:noProof/>
          <w:rtl/>
        </w:rPr>
        <w:t>9</w:t>
      </w:r>
      <w:r w:rsidRPr="00FC2145">
        <w:rPr>
          <w:noProof/>
        </w:rPr>
        <w:t>.</w:t>
      </w:r>
    </w:p>
    <w:p w:rsidR="00971562" w:rsidRPr="00FC2145" w:rsidRDefault="00971562" w:rsidP="00971562">
      <w:pPr>
        <w:numPr>
          <w:ilvl w:val="0"/>
          <w:numId w:val="1"/>
        </w:numPr>
        <w:overflowPunct/>
        <w:autoSpaceDE/>
        <w:autoSpaceDN/>
        <w:adjustRightInd/>
        <w:ind w:left="714" w:hanging="350"/>
        <w:jc w:val="both"/>
        <w:textAlignment w:val="auto"/>
        <w:rPr>
          <w:noProof/>
        </w:rPr>
      </w:pPr>
      <w:r w:rsidRPr="00FC2145">
        <w:rPr>
          <w:noProof/>
        </w:rPr>
        <w:t xml:space="preserve">Total expenditure on outbound tourism by Palestinians abroad was USD </w:t>
      </w:r>
      <w:r w:rsidRPr="00FC2145">
        <w:rPr>
          <w:rFonts w:hint="cs"/>
          <w:noProof/>
          <w:rtl/>
        </w:rPr>
        <w:t>387.1</w:t>
      </w:r>
      <w:r w:rsidR="00AA00F9">
        <w:rPr>
          <w:noProof/>
        </w:rPr>
        <w:t xml:space="preserve"> </w:t>
      </w:r>
      <w:r w:rsidRPr="00FC2145">
        <w:rPr>
          <w:noProof/>
        </w:rPr>
        <w:t>million in 201</w:t>
      </w:r>
      <w:r w:rsidRPr="00FC2145">
        <w:rPr>
          <w:rFonts w:hint="cs"/>
          <w:noProof/>
          <w:rtl/>
        </w:rPr>
        <w:t>9</w:t>
      </w:r>
      <w:r w:rsidRPr="00FC2145">
        <w:rPr>
          <w:noProof/>
        </w:rPr>
        <w:t>.</w:t>
      </w:r>
    </w:p>
    <w:p w:rsidR="00971562" w:rsidRPr="00FC2145" w:rsidRDefault="00971562" w:rsidP="00971562">
      <w:pPr>
        <w:overflowPunct/>
        <w:autoSpaceDE/>
        <w:autoSpaceDN/>
        <w:adjustRightInd/>
        <w:ind w:left="714"/>
        <w:jc w:val="both"/>
        <w:textAlignment w:val="auto"/>
        <w:rPr>
          <w:noProof/>
        </w:rPr>
      </w:pPr>
    </w:p>
    <w:p w:rsidR="00971562" w:rsidRPr="00FC2145" w:rsidRDefault="00971562" w:rsidP="00714094">
      <w:pPr>
        <w:overflowPunct/>
        <w:autoSpaceDE/>
        <w:autoSpaceDN/>
        <w:adjustRightInd/>
        <w:jc w:val="lowKashida"/>
        <w:textAlignment w:val="auto"/>
        <w:rPr>
          <w:b/>
          <w:bCs/>
          <w:i/>
          <w:iCs/>
          <w:noProof/>
          <w:sz w:val="18"/>
          <w:szCs w:val="18"/>
          <w:u w:val="single"/>
        </w:rPr>
      </w:pPr>
      <w:r w:rsidRPr="00FC2145">
        <w:rPr>
          <w:b/>
          <w:bCs/>
          <w:i/>
          <w:iCs/>
          <w:noProof/>
          <w:sz w:val="18"/>
          <w:szCs w:val="18"/>
          <w:u w:val="single"/>
        </w:rPr>
        <w:t>For more details on the Satellite Accounts, see the table in chapter 1.</w:t>
      </w:r>
      <w:r w:rsidR="00714094">
        <w:rPr>
          <w:b/>
          <w:bCs/>
          <w:i/>
          <w:iCs/>
          <w:noProof/>
          <w:sz w:val="18"/>
          <w:szCs w:val="18"/>
          <w:u w:val="single"/>
        </w:rPr>
        <w:t>24</w:t>
      </w:r>
      <w:r w:rsidRPr="00FC2145">
        <w:rPr>
          <w:b/>
          <w:bCs/>
          <w:i/>
          <w:iCs/>
          <w:noProof/>
          <w:sz w:val="18"/>
          <w:szCs w:val="18"/>
          <w:u w:val="single"/>
        </w:rPr>
        <w:t xml:space="preserve"> of the Arabic section, pages</w:t>
      </w:r>
      <w:r w:rsidRPr="00FC2145">
        <w:rPr>
          <w:b/>
          <w:bCs/>
          <w:i/>
          <w:iCs/>
          <w:sz w:val="18"/>
          <w:szCs w:val="18"/>
          <w:u w:val="single"/>
          <w:rtl/>
        </w:rPr>
        <w:t xml:space="preserve"> </w:t>
      </w:r>
      <w:r w:rsidR="00714094">
        <w:rPr>
          <w:b/>
          <w:bCs/>
          <w:i/>
          <w:iCs/>
          <w:noProof/>
          <w:sz w:val="18"/>
          <w:szCs w:val="18"/>
          <w:u w:val="single"/>
        </w:rPr>
        <w:t>181</w:t>
      </w:r>
      <w:r w:rsidRPr="00FC2145">
        <w:rPr>
          <w:b/>
          <w:bCs/>
          <w:i/>
          <w:iCs/>
          <w:noProof/>
          <w:sz w:val="18"/>
          <w:szCs w:val="18"/>
          <w:u w:val="single"/>
        </w:rPr>
        <w:t>-</w:t>
      </w:r>
      <w:r w:rsidR="00714094">
        <w:rPr>
          <w:b/>
          <w:bCs/>
          <w:i/>
          <w:iCs/>
          <w:noProof/>
          <w:sz w:val="18"/>
          <w:szCs w:val="18"/>
          <w:u w:val="single"/>
        </w:rPr>
        <w:t>184</w:t>
      </w:r>
    </w:p>
    <w:p w:rsidR="00AE2FC8" w:rsidRPr="00FC2145" w:rsidRDefault="00AE2FC8" w:rsidP="00971562">
      <w:pPr>
        <w:pStyle w:val="Title"/>
        <w:tabs>
          <w:tab w:val="right" w:pos="308"/>
        </w:tabs>
        <w:bidi w:val="0"/>
        <w:jc w:val="left"/>
        <w:rPr>
          <w:rFonts w:cs="Times New Roman"/>
          <w:sz w:val="20"/>
        </w:rPr>
      </w:pPr>
    </w:p>
    <w:p w:rsidR="004601D7" w:rsidRPr="00714094" w:rsidRDefault="004601D7" w:rsidP="002D5AE3">
      <w:pPr>
        <w:pStyle w:val="ListParagraph"/>
        <w:numPr>
          <w:ilvl w:val="0"/>
          <w:numId w:val="19"/>
        </w:numPr>
        <w:bidi w:val="0"/>
        <w:jc w:val="lowKashida"/>
        <w:rPr>
          <w:b/>
          <w:bCs/>
          <w:sz w:val="20"/>
          <w:szCs w:val="16"/>
        </w:rPr>
      </w:pPr>
      <w:r w:rsidRPr="00714094">
        <w:rPr>
          <w:b/>
          <w:bCs/>
          <w:sz w:val="20"/>
          <w:szCs w:val="16"/>
        </w:rPr>
        <w:t xml:space="preserve"> Special Topics</w:t>
      </w:r>
    </w:p>
    <w:p w:rsidR="004601D7" w:rsidRPr="00FC2145" w:rsidRDefault="00714094" w:rsidP="002D5AE3">
      <w:pPr>
        <w:jc w:val="lowKashida"/>
        <w:rPr>
          <w:b/>
          <w:bCs/>
        </w:rPr>
      </w:pPr>
      <w:r>
        <w:rPr>
          <w:b/>
          <w:bCs/>
        </w:rPr>
        <w:t>25</w:t>
      </w:r>
      <w:r w:rsidR="004601D7" w:rsidRPr="00FC2145">
        <w:rPr>
          <w:b/>
          <w:bCs/>
        </w:rPr>
        <w:t>.1 The impact of the COVID-19 pandemic on the socio-economic conditions of households</w:t>
      </w:r>
    </w:p>
    <w:p w:rsidR="003A67FB" w:rsidRPr="00FC2145" w:rsidRDefault="003A67FB" w:rsidP="003A67FB">
      <w:pPr>
        <w:numPr>
          <w:ilvl w:val="0"/>
          <w:numId w:val="1"/>
        </w:numPr>
        <w:ind w:left="714" w:hanging="350"/>
        <w:jc w:val="both"/>
        <w:rPr>
          <w:noProof/>
        </w:rPr>
      </w:pPr>
      <w:r w:rsidRPr="00FC2145">
        <w:rPr>
          <w:noProof/>
        </w:rPr>
        <w:t>Three out of five of the households' main income earners in Palestine (61.1%) worked during the period from June 1</w:t>
      </w:r>
      <w:r w:rsidRPr="00FC2145">
        <w:rPr>
          <w:noProof/>
          <w:vertAlign w:val="superscript"/>
        </w:rPr>
        <w:t>st</w:t>
      </w:r>
      <w:r w:rsidRPr="00FC2145">
        <w:rPr>
          <w:noProof/>
        </w:rPr>
        <w:t xml:space="preserve"> to December 31</w:t>
      </w:r>
      <w:r w:rsidRPr="00FC2145">
        <w:rPr>
          <w:noProof/>
          <w:vertAlign w:val="superscript"/>
        </w:rPr>
        <w:t>st</w:t>
      </w:r>
      <w:r w:rsidRPr="00FC2145">
        <w:rPr>
          <w:noProof/>
        </w:rPr>
        <w:t xml:space="preserve"> 2020 (71.7% in the West Bank and 43.7% in Gaza Strip).</w:t>
      </w:r>
    </w:p>
    <w:p w:rsidR="003A67FB" w:rsidRPr="00FC2145" w:rsidRDefault="003A67FB" w:rsidP="003A67FB">
      <w:pPr>
        <w:numPr>
          <w:ilvl w:val="0"/>
          <w:numId w:val="1"/>
        </w:numPr>
        <w:ind w:left="714" w:hanging="350"/>
        <w:jc w:val="both"/>
        <w:rPr>
          <w:noProof/>
        </w:rPr>
      </w:pPr>
      <w:r w:rsidRPr="00FC2145">
        <w:rPr>
          <w:noProof/>
        </w:rPr>
        <w:t>43.8% of employed persons were absent from work during the period June to December 2020, and there is a clear variation between the West Bank and Gaza Strip (32.0% in the West Bank and 75.4% in Gaza Strip).</w:t>
      </w:r>
    </w:p>
    <w:p w:rsidR="003A67FB" w:rsidRPr="00FC2145" w:rsidRDefault="003A67FB" w:rsidP="003A67FB">
      <w:pPr>
        <w:numPr>
          <w:ilvl w:val="0"/>
          <w:numId w:val="1"/>
        </w:numPr>
        <w:ind w:left="714" w:hanging="350"/>
        <w:jc w:val="both"/>
        <w:rPr>
          <w:noProof/>
        </w:rPr>
      </w:pPr>
      <w:r w:rsidRPr="00FC2145">
        <w:rPr>
          <w:noProof/>
        </w:rPr>
        <w:t>99.1% of households in need of health services were able to access health services, where buying medicine and antibiotics was the highest percentage (98.2%) and the lowest was Treatment or care of the disabled (73.2%).</w:t>
      </w:r>
    </w:p>
    <w:p w:rsidR="003A67FB" w:rsidRPr="00FC2145" w:rsidRDefault="003A67FB" w:rsidP="003A67FB">
      <w:pPr>
        <w:numPr>
          <w:ilvl w:val="0"/>
          <w:numId w:val="1"/>
        </w:numPr>
        <w:ind w:left="714" w:hanging="350"/>
        <w:jc w:val="both"/>
        <w:rPr>
          <w:noProof/>
        </w:rPr>
      </w:pPr>
      <w:r w:rsidRPr="00FC2145">
        <w:rPr>
          <w:noProof/>
        </w:rPr>
        <w:t>83.8% of households in Palestine whose childern aged 4-18 years particpated in eductional activities (remote/online education) during the period from 23/08/2020 to 31/12/2020; (</w:t>
      </w:r>
      <w:r w:rsidRPr="00FC2145">
        <w:rPr>
          <w:rFonts w:hint="cs"/>
          <w:noProof/>
          <w:rtl/>
        </w:rPr>
        <w:t>81.6</w:t>
      </w:r>
      <w:r w:rsidRPr="00FC2145">
        <w:rPr>
          <w:noProof/>
        </w:rPr>
        <w:t xml:space="preserve">% in the West Bank and </w:t>
      </w:r>
      <w:r w:rsidRPr="00FC2145">
        <w:rPr>
          <w:rFonts w:hint="cs"/>
          <w:noProof/>
          <w:rtl/>
        </w:rPr>
        <w:t>87.0</w:t>
      </w:r>
      <w:r w:rsidRPr="00FC2145">
        <w:rPr>
          <w:noProof/>
        </w:rPr>
        <w:t>% in Gaza Strip).</w:t>
      </w:r>
    </w:p>
    <w:p w:rsidR="003A67FB" w:rsidRPr="00FC2145" w:rsidRDefault="003A67FB" w:rsidP="003A67FB">
      <w:pPr>
        <w:numPr>
          <w:ilvl w:val="0"/>
          <w:numId w:val="1"/>
        </w:numPr>
        <w:ind w:left="714" w:hanging="350"/>
        <w:jc w:val="both"/>
        <w:rPr>
          <w:noProof/>
        </w:rPr>
      </w:pPr>
      <w:r w:rsidRPr="00FC2145">
        <w:rPr>
          <w:noProof/>
        </w:rPr>
        <w:t>87.3% of the children participated by attending school or kindergarten (face-to-face education) through the integrated education program which was adopted by MOE, 92.0% of them participated by doing homework assigned by teachers, 76.9% of them participated by receiving lessons via remote communication means of the Ministry of Education, 31.0% of them participated by watching the lessons on Facebook pages of the Ministry of Education, and 25.3% of them participated by using the e-learning platform of the Ministry of Education.</w:t>
      </w:r>
    </w:p>
    <w:p w:rsidR="003A67FB" w:rsidRPr="00FC2145" w:rsidRDefault="003A67FB" w:rsidP="003A67FB">
      <w:pPr>
        <w:numPr>
          <w:ilvl w:val="0"/>
          <w:numId w:val="1"/>
        </w:numPr>
        <w:ind w:left="714" w:hanging="350"/>
        <w:jc w:val="both"/>
        <w:rPr>
          <w:noProof/>
        </w:rPr>
      </w:pPr>
      <w:r w:rsidRPr="00FC2145">
        <w:rPr>
          <w:noProof/>
        </w:rPr>
        <w:t>50.7% of households pointed out that their children did not participate in the educational activities because the internet is not available at home or available, but not enough, while 48.4% of them indicated that the reason was due to partial closure of schools due to the pandemic, and 47.4% of the households pointed that the reason was the absence of needed devices (laptop, desktop, or tablet pc) at home or available but not enough.</w:t>
      </w:r>
    </w:p>
    <w:p w:rsidR="003A67FB" w:rsidRPr="00FC2145" w:rsidRDefault="003A67FB" w:rsidP="003A67FB">
      <w:pPr>
        <w:numPr>
          <w:ilvl w:val="0"/>
          <w:numId w:val="1"/>
        </w:numPr>
        <w:ind w:left="714" w:hanging="350"/>
        <w:jc w:val="both"/>
        <w:rPr>
          <w:noProof/>
        </w:rPr>
      </w:pPr>
      <w:r w:rsidRPr="00FC2145">
        <w:rPr>
          <w:noProof/>
        </w:rPr>
        <w:t>60.3% of the Palestinian households assessed their monthly income from all sources as decreased compared with the period before COVID-19 pandemic (32.0% decreased less than half, and 28.3% decreased by half or more).</w:t>
      </w:r>
    </w:p>
    <w:p w:rsidR="003A67FB" w:rsidRPr="00FC2145" w:rsidRDefault="003A67FB" w:rsidP="003A67FB">
      <w:pPr>
        <w:numPr>
          <w:ilvl w:val="0"/>
          <w:numId w:val="1"/>
        </w:numPr>
        <w:ind w:left="714" w:hanging="350"/>
        <w:jc w:val="both"/>
        <w:rPr>
          <w:noProof/>
        </w:rPr>
      </w:pPr>
      <w:r w:rsidRPr="00FC2145">
        <w:rPr>
          <w:noProof/>
        </w:rPr>
        <w:t xml:space="preserve">During the second half of 2020, aid for households in Palestine benefiting from social protection programs was affected by the restrictions on movement that </w:t>
      </w:r>
      <w:r w:rsidRPr="00FC2145">
        <w:rPr>
          <w:noProof/>
        </w:rPr>
        <w:lastRenderedPageBreak/>
        <w:t>resulted from Covid-19 pandemic, as results showed that 39.4% of households benefiting of assistance from private non-profit organizations were affected by the restrictions on movement, followed by Free medicine\ health treatment (19.1%), and the third was the aid that was in form of family/friends transfer from abroad (17.4%).</w:t>
      </w:r>
    </w:p>
    <w:p w:rsidR="003A67FB" w:rsidRDefault="003A67FB" w:rsidP="003A67FB">
      <w:pPr>
        <w:numPr>
          <w:ilvl w:val="0"/>
          <w:numId w:val="1"/>
        </w:numPr>
        <w:ind w:left="714" w:hanging="350"/>
        <w:jc w:val="both"/>
        <w:rPr>
          <w:noProof/>
        </w:rPr>
      </w:pPr>
      <w:r w:rsidRPr="00FC2145">
        <w:rPr>
          <w:noProof/>
        </w:rPr>
        <w:t>33.1% of households indicated that cash transfer assistance program for the household was one of the most appropriate measures and procedures that the Government should adopt, followed by creating employment opportunities (21.3%), while the third priority was the provision of food vouchers, food packages and procurement vouchers (19.5%).</w:t>
      </w:r>
    </w:p>
    <w:p w:rsidR="00C20281" w:rsidRDefault="00C20281" w:rsidP="003A67FB">
      <w:pPr>
        <w:numPr>
          <w:ilvl w:val="0"/>
          <w:numId w:val="1"/>
        </w:numPr>
        <w:ind w:left="714" w:hanging="350"/>
        <w:jc w:val="both"/>
        <w:rPr>
          <w:noProof/>
        </w:rPr>
      </w:pPr>
      <w:r w:rsidRPr="00C20281">
        <w:rPr>
          <w:noProof/>
        </w:rPr>
        <w:t>Data showed that 84.0% of the Palestinian households worried about being infected with COVID-19 (of which 36.3% were very worried about infection).  Moreover, 14.5% of households have confirmed that at least one of their individuals was infected whit COVID-19.  And 31.1% of households, which at least one of their members has been infected with COVID-19, were bullied.</w:t>
      </w:r>
    </w:p>
    <w:p w:rsidR="00C20281" w:rsidRPr="00FC2145" w:rsidRDefault="00C20281" w:rsidP="00C20281">
      <w:pPr>
        <w:numPr>
          <w:ilvl w:val="0"/>
          <w:numId w:val="1"/>
        </w:numPr>
        <w:ind w:left="714" w:hanging="350"/>
        <w:jc w:val="both"/>
        <w:rPr>
          <w:noProof/>
        </w:rPr>
      </w:pPr>
      <w:r w:rsidRPr="00C20281">
        <w:rPr>
          <w:noProof/>
        </w:rPr>
        <w:t>As for the readiness to take COVID-19 vaccine, 54.9% of the Palestinian households expressed their agreement to take the vaccine, 28.8% confirmed their opposition to take the vaccine, while 16.3% of the households were neutral about taking COVID-19 vaccine.</w:t>
      </w:r>
    </w:p>
    <w:p w:rsidR="003A67FB" w:rsidRPr="00FC2145" w:rsidRDefault="003A67FB" w:rsidP="003A67FB">
      <w:pPr>
        <w:pStyle w:val="ListParagraph"/>
        <w:bidi w:val="0"/>
        <w:ind w:left="0"/>
        <w:jc w:val="lowKashida"/>
        <w:rPr>
          <w:rFonts w:cs="Times New Roman"/>
          <w:i/>
          <w:iCs/>
          <w:sz w:val="20"/>
          <w:u w:val="single"/>
        </w:rPr>
      </w:pPr>
    </w:p>
    <w:p w:rsidR="004601D7" w:rsidRPr="00FC2145" w:rsidRDefault="00714094" w:rsidP="002D5AE3">
      <w:pPr>
        <w:jc w:val="lowKashida"/>
        <w:rPr>
          <w:b/>
          <w:bCs/>
        </w:rPr>
      </w:pPr>
      <w:r>
        <w:rPr>
          <w:b/>
          <w:bCs/>
        </w:rPr>
        <w:t>25</w:t>
      </w:r>
      <w:r w:rsidR="004601D7" w:rsidRPr="00FC2145">
        <w:rPr>
          <w:b/>
          <w:bCs/>
        </w:rPr>
        <w:t>.2 The Impact of the Covid-19 Pandemic on Economic Enterprises:</w:t>
      </w:r>
    </w:p>
    <w:p w:rsidR="00854721" w:rsidRPr="00FC2145" w:rsidRDefault="00854721" w:rsidP="00854721">
      <w:pPr>
        <w:numPr>
          <w:ilvl w:val="0"/>
          <w:numId w:val="1"/>
        </w:numPr>
        <w:ind w:left="714" w:hanging="350"/>
        <w:jc w:val="both"/>
      </w:pPr>
      <w:r w:rsidRPr="00FC2145">
        <w:t xml:space="preserve">77.8% of establishments (73.4% in the West Bank and 86.7% in Gaza Strip) </w:t>
      </w:r>
      <w:proofErr w:type="gramStart"/>
      <w:r w:rsidRPr="00FC2145">
        <w:t>were closed</w:t>
      </w:r>
      <w:proofErr w:type="gramEnd"/>
      <w:r w:rsidRPr="00FC2145">
        <w:t xml:space="preserve"> for many days due to the restriction measures taken by the government enforcing the necessity of closure as a preventative measure for fighting the Coronavirus outbreak.</w:t>
      </w:r>
    </w:p>
    <w:p w:rsidR="00854721" w:rsidRPr="00FC2145" w:rsidRDefault="00854721" w:rsidP="006A67B1">
      <w:pPr>
        <w:numPr>
          <w:ilvl w:val="0"/>
          <w:numId w:val="1"/>
        </w:numPr>
        <w:ind w:left="714" w:hanging="350"/>
        <w:jc w:val="both"/>
      </w:pPr>
      <w:r w:rsidRPr="00FC2145">
        <w:t xml:space="preserve">The percentage of the closure days during the lockdown period (5/3/2021 – 31/5/2021) was (27.4%) concentrated in </w:t>
      </w:r>
      <w:r w:rsidR="006A67B1">
        <w:t>services</w:t>
      </w:r>
      <w:r w:rsidRPr="00FC2145">
        <w:t xml:space="preserve"> activity, where the percentage of closure days for </w:t>
      </w:r>
      <w:r w:rsidR="006A67B1" w:rsidRPr="00FC2145">
        <w:t xml:space="preserve">telecommunications </w:t>
      </w:r>
      <w:r w:rsidRPr="00FC2145">
        <w:t xml:space="preserve">activity reached (42.3%) and it reached (34.4%) for the transport activity. While the percentage of closure days for the activities of industry and trade reached (28.7%) and (24.3%), respectively. </w:t>
      </w:r>
    </w:p>
    <w:p w:rsidR="00854721" w:rsidRPr="00FC2145" w:rsidRDefault="00854721" w:rsidP="00854721">
      <w:pPr>
        <w:numPr>
          <w:ilvl w:val="0"/>
          <w:numId w:val="1"/>
        </w:numPr>
        <w:ind w:left="714" w:hanging="350"/>
        <w:jc w:val="both"/>
      </w:pPr>
      <w:r w:rsidRPr="00FC2145">
        <w:t>Most of the establishments reported that sales/production have decreased during the three months of the lockdown by (82.3%), with a decline in the average sales/production by 43.1% compared with normal situation. Establishments operating in construction and transport sectors recorded the highest decline of the average sales/production by (50.9%), followed by establishments operating in the industry sector with a decline of (47.8%).</w:t>
      </w:r>
    </w:p>
    <w:p w:rsidR="00854721" w:rsidRPr="00FC2145" w:rsidRDefault="00854721" w:rsidP="00854721">
      <w:pPr>
        <w:numPr>
          <w:ilvl w:val="0"/>
          <w:numId w:val="1"/>
        </w:numPr>
        <w:ind w:left="714" w:hanging="350"/>
        <w:jc w:val="both"/>
      </w:pPr>
      <w:r w:rsidRPr="00FC2145">
        <w:t>73.9% of the establishments are facing a decline in the availability of cash flow, which affected the percentage of returned checks that increased to reach 25.9% (35.7% in the West Bank and 5.6% in Gaza Strip). In addition, 35.0% of the establishments reported having a difficulty in the provision of financial services that are usually available in the normal situation.</w:t>
      </w:r>
    </w:p>
    <w:p w:rsidR="00854721" w:rsidRPr="00FC2145" w:rsidRDefault="00854721" w:rsidP="00854721">
      <w:pPr>
        <w:numPr>
          <w:ilvl w:val="0"/>
          <w:numId w:val="1"/>
        </w:numPr>
        <w:ind w:left="714" w:hanging="350"/>
        <w:jc w:val="both"/>
      </w:pPr>
      <w:r w:rsidRPr="00FC2145">
        <w:rPr>
          <w:rFonts w:hint="cs"/>
          <w:rtl/>
        </w:rPr>
        <w:t>32.8</w:t>
      </w:r>
      <w:r w:rsidRPr="00FC2145">
        <w:t xml:space="preserve">% of establishments had to have delay payments to suppliers and employees, whereas </w:t>
      </w:r>
      <w:r w:rsidRPr="00FC2145">
        <w:rPr>
          <w:rFonts w:hint="cs"/>
          <w:rtl/>
        </w:rPr>
        <w:t>47.3</w:t>
      </w:r>
      <w:r w:rsidRPr="00FC2145">
        <w:t>% of them had to get loans from friends, family, relatives to cover the shortage in cash flow.</w:t>
      </w:r>
    </w:p>
    <w:p w:rsidR="00854721" w:rsidRPr="00FC2145" w:rsidRDefault="00854721" w:rsidP="00854721">
      <w:pPr>
        <w:numPr>
          <w:ilvl w:val="0"/>
          <w:numId w:val="1"/>
        </w:numPr>
        <w:ind w:left="714" w:hanging="350"/>
        <w:jc w:val="both"/>
      </w:pPr>
      <w:r w:rsidRPr="00FC2145">
        <w:t xml:space="preserve">As a response to COVID-19 pandemic, 8.6% of the establishments had to dismiss and let go their employees to face the financial crisis resulted from the Coronavirus pandemic. </w:t>
      </w:r>
    </w:p>
    <w:p w:rsidR="00854721" w:rsidRPr="00FC2145" w:rsidRDefault="00854721" w:rsidP="00854721">
      <w:pPr>
        <w:numPr>
          <w:ilvl w:val="0"/>
          <w:numId w:val="1"/>
        </w:numPr>
        <w:ind w:left="714" w:hanging="350"/>
        <w:jc w:val="both"/>
      </w:pPr>
      <w:r w:rsidRPr="00FC2145">
        <w:lastRenderedPageBreak/>
        <w:t xml:space="preserve">Whereas 3.5% of the establishments reduced the salaries and wages of their employees, and 3.1% of them </w:t>
      </w:r>
      <w:proofErr w:type="gramStart"/>
      <w:r w:rsidRPr="00FC2145">
        <w:t>gave</w:t>
      </w:r>
      <w:proofErr w:type="gramEnd"/>
      <w:r w:rsidRPr="00FC2145">
        <w:t xml:space="preserve"> their employees unpaid leave while 2.0% of them gave their employees a paid leave. </w:t>
      </w:r>
    </w:p>
    <w:p w:rsidR="00854721" w:rsidRPr="00FC2145" w:rsidRDefault="00854721" w:rsidP="00854721">
      <w:pPr>
        <w:numPr>
          <w:ilvl w:val="0"/>
          <w:numId w:val="1"/>
        </w:numPr>
        <w:ind w:left="714" w:hanging="350"/>
        <w:jc w:val="both"/>
      </w:pPr>
      <w:r w:rsidRPr="00FC2145">
        <w:t>17.9% of the establishments started using or have increased the use of internet, online social media networks, specialized apps or digital platforms in response to COVID-19 outbreak; whereas the main use of such digital solutions was for marketing with a percentage of 83.3%, 52.9% for business administration and 37.9% for sale.</w:t>
      </w:r>
    </w:p>
    <w:p w:rsidR="00854721" w:rsidRPr="00FC2145" w:rsidRDefault="00854721" w:rsidP="00854721">
      <w:pPr>
        <w:numPr>
          <w:ilvl w:val="0"/>
          <w:numId w:val="1"/>
        </w:numPr>
        <w:ind w:left="714" w:hanging="350"/>
        <w:jc w:val="both"/>
      </w:pPr>
      <w:r w:rsidRPr="00FC2145">
        <w:t>During the last three months (88 days) starting from March 5th until May 31st, 2021), establishments reported that the percentage of employees who are currently working remotely from home was 8.0% of the total number of employees; mainly in the telecommunication sector (12.2% of the total number of employees) and transport sector (9.2% of the total number of employees).</w:t>
      </w:r>
    </w:p>
    <w:p w:rsidR="00854721" w:rsidRPr="00FC2145" w:rsidRDefault="00854721" w:rsidP="00854721">
      <w:pPr>
        <w:numPr>
          <w:ilvl w:val="0"/>
          <w:numId w:val="1"/>
        </w:numPr>
        <w:ind w:left="714" w:hanging="350"/>
        <w:jc w:val="both"/>
      </w:pPr>
      <w:r w:rsidRPr="00FC2145">
        <w:t>66.8% of the establishments chose utility subsidies such as electricity, water, wastewater, internet services, and others, as the most needed policies to support their businesses over COVID-19 crisis. While 46.8% of the establishments chose exemptions or tax deductions, followed by salary subsidies with 40.6% and 39.8% for rental deferral.</w:t>
      </w:r>
    </w:p>
    <w:p w:rsidR="00AE2FC8" w:rsidRPr="00FC2145" w:rsidRDefault="00AE2FC8" w:rsidP="00AE2FC8">
      <w:pPr>
        <w:ind w:left="714"/>
        <w:jc w:val="both"/>
        <w:rPr>
          <w:noProof/>
        </w:rPr>
      </w:pPr>
    </w:p>
    <w:p w:rsidR="00AE2FC8" w:rsidRPr="00FC2145" w:rsidRDefault="00AE2FC8" w:rsidP="00714094">
      <w:pPr>
        <w:jc w:val="lowKashida"/>
        <w:rPr>
          <w:b/>
          <w:bCs/>
          <w:i/>
          <w:iCs/>
          <w:sz w:val="18"/>
          <w:szCs w:val="18"/>
          <w:u w:val="single"/>
        </w:rPr>
      </w:pPr>
      <w:r w:rsidRPr="00FC2145">
        <w:rPr>
          <w:b/>
          <w:bCs/>
          <w:i/>
          <w:iCs/>
          <w:sz w:val="18"/>
          <w:szCs w:val="18"/>
          <w:u w:val="single"/>
        </w:rPr>
        <w:t xml:space="preserve">For more details on </w:t>
      </w:r>
      <w:r w:rsidR="00912D4D" w:rsidRPr="00FC2145">
        <w:rPr>
          <w:b/>
          <w:bCs/>
          <w:i/>
          <w:iCs/>
          <w:sz w:val="18"/>
          <w:szCs w:val="18"/>
          <w:u w:val="single"/>
        </w:rPr>
        <w:t>the Special Topics</w:t>
      </w:r>
      <w:r w:rsidRPr="00FC2145">
        <w:rPr>
          <w:b/>
          <w:bCs/>
          <w:i/>
          <w:iCs/>
          <w:sz w:val="18"/>
          <w:szCs w:val="18"/>
          <w:u w:val="single"/>
        </w:rPr>
        <w:t>, see the table in chapter 1.</w:t>
      </w:r>
      <w:r w:rsidR="00714094">
        <w:rPr>
          <w:b/>
          <w:bCs/>
          <w:i/>
          <w:iCs/>
          <w:sz w:val="18"/>
          <w:szCs w:val="18"/>
          <w:u w:val="single"/>
        </w:rPr>
        <w:t>25</w:t>
      </w:r>
      <w:r w:rsidRPr="00FC2145">
        <w:rPr>
          <w:b/>
          <w:bCs/>
          <w:i/>
          <w:iCs/>
          <w:sz w:val="18"/>
          <w:szCs w:val="18"/>
          <w:u w:val="single"/>
        </w:rPr>
        <w:t xml:space="preserve"> of the Arabic section, pages</w:t>
      </w:r>
      <w:r w:rsidRPr="00FC2145">
        <w:rPr>
          <w:b/>
          <w:bCs/>
          <w:i/>
          <w:iCs/>
          <w:sz w:val="18"/>
          <w:szCs w:val="18"/>
          <w:u w:val="single"/>
          <w:rtl/>
        </w:rPr>
        <w:t xml:space="preserve"> </w:t>
      </w:r>
      <w:r w:rsidR="00714094">
        <w:rPr>
          <w:rFonts w:hint="cs"/>
          <w:b/>
          <w:bCs/>
          <w:i/>
          <w:iCs/>
          <w:sz w:val="18"/>
          <w:szCs w:val="18"/>
          <w:u w:val="single"/>
          <w:rtl/>
        </w:rPr>
        <w:t>185</w:t>
      </w:r>
      <w:r w:rsidRPr="00FC2145">
        <w:rPr>
          <w:b/>
          <w:bCs/>
          <w:i/>
          <w:iCs/>
          <w:sz w:val="18"/>
          <w:szCs w:val="18"/>
          <w:u w:val="single"/>
        </w:rPr>
        <w:t>-</w:t>
      </w:r>
      <w:r w:rsidR="00714094">
        <w:rPr>
          <w:b/>
          <w:bCs/>
          <w:i/>
          <w:iCs/>
          <w:sz w:val="18"/>
          <w:szCs w:val="18"/>
          <w:u w:val="single"/>
        </w:rPr>
        <w:t>194</w:t>
      </w:r>
      <w:r w:rsidR="00F341FE">
        <w:rPr>
          <w:b/>
          <w:bCs/>
          <w:i/>
          <w:iCs/>
          <w:sz w:val="18"/>
          <w:szCs w:val="18"/>
          <w:u w:val="single"/>
        </w:rPr>
        <w:t>.</w:t>
      </w:r>
    </w:p>
    <w:p w:rsidR="00DE3043" w:rsidRPr="00FC2145" w:rsidRDefault="00B20D22" w:rsidP="00E311A5">
      <w:pPr>
        <w:numPr>
          <w:ilvl w:val="0"/>
          <w:numId w:val="1"/>
        </w:numPr>
        <w:jc w:val="both"/>
        <w:rPr>
          <w:noProof/>
        </w:rPr>
      </w:pPr>
      <w:r w:rsidRPr="00FC2145">
        <w:rPr>
          <w:noProof/>
        </w:rPr>
        <w:br w:type="page"/>
      </w:r>
    </w:p>
    <w:p w:rsidR="003A59C1" w:rsidRPr="00FC2145" w:rsidRDefault="00FA472E" w:rsidP="003A59C1">
      <w:pPr>
        <w:pStyle w:val="Title"/>
        <w:bidi w:val="0"/>
        <w:rPr>
          <w:szCs w:val="24"/>
        </w:rPr>
      </w:pPr>
      <w:r w:rsidRPr="00FC2145">
        <w:rPr>
          <w:szCs w:val="24"/>
        </w:rPr>
        <w:lastRenderedPageBreak/>
        <mc:AlternateContent>
          <mc:Choice Requires="wps">
            <w:drawing>
              <wp:anchor distT="0" distB="0" distL="114300" distR="114300" simplePos="0" relativeHeight="251662848" behindDoc="0" locked="0" layoutInCell="1" allowOverlap="1">
                <wp:simplePos x="0" y="0"/>
                <wp:positionH relativeFrom="column">
                  <wp:posOffset>4127500</wp:posOffset>
                </wp:positionH>
                <wp:positionV relativeFrom="paragraph">
                  <wp:posOffset>-59055</wp:posOffset>
                </wp:positionV>
                <wp:extent cx="533400" cy="304800"/>
                <wp:effectExtent l="8890" t="13335" r="10160" b="5715"/>
                <wp:wrapNone/>
                <wp:docPr id="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304800"/>
                        </a:xfrm>
                        <a:prstGeom prst="rect">
                          <a:avLst/>
                        </a:prstGeom>
                        <a:solidFill>
                          <a:srgbClr val="FFFFFF"/>
                        </a:solidFill>
                        <a:ln w="9525">
                          <a:solidFill>
                            <a:srgbClr val="000000"/>
                          </a:solidFill>
                          <a:miter lim="800000"/>
                          <a:headEnd/>
                          <a:tailEnd/>
                        </a:ln>
                      </wps:spPr>
                      <wps:txbx>
                        <w:txbxContent>
                          <w:p w:rsidR="008832A6" w:rsidRDefault="008832A6" w:rsidP="003C6F02">
                            <w:pPr>
                              <w:jc w:val="center"/>
                              <w:rPr>
                                <w:b/>
                                <w:bCs/>
                                <w:sz w:val="28"/>
                                <w:szCs w:val="28"/>
                              </w:rPr>
                            </w:pPr>
                            <w:r>
                              <w:rPr>
                                <w:sz w:val="28"/>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7" style="position:absolute;left:0;text-align:left;margin-left:325pt;margin-top:-4.65pt;width:42pt;height:24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">
                <v:textbox>
                  <w:txbxContent>
                    <w:p w:rsidR="008832A6" w:rsidRDefault="008832A6" w:rsidP="003C6F02">
                      <w:pPr>
                        <w:jc w:val="center"/>
                        <w:rPr>
                          <w:b/>
                          <w:bCs/>
                          <w:sz w:val="28"/>
                          <w:szCs w:val="28"/>
                        </w:rPr>
                      </w:pPr>
                      <w:r>
                        <w:rPr>
                          <w:sz w:val="28"/>
                        </w:rPr>
                        <w:t>2.1</w:t>
                      </w:r>
                    </w:p>
                  </w:txbxContent>
                </v:textbox>
              </v:rect>
            </w:pict>
          </mc:Fallback>
        </mc:AlternateContent>
      </w:r>
      <w:r w:rsidR="00310AD8" w:rsidRPr="00FC2145">
        <w:rPr>
          <w:szCs w:val="24"/>
        </w:rPr>
        <w:t xml:space="preserve"> Palestinians in the </w:t>
      </w:r>
      <w:r w:rsidR="003A59C1" w:rsidRPr="00FC2145">
        <w:rPr>
          <w:szCs w:val="24"/>
        </w:rPr>
        <w:t xml:space="preserve">Occupied Palestinian </w:t>
      </w:r>
    </w:p>
    <w:p w:rsidR="00DC67CE" w:rsidRPr="00FC2145" w:rsidRDefault="003A59C1" w:rsidP="003A59C1">
      <w:pPr>
        <w:pStyle w:val="Title"/>
        <w:bidi w:val="0"/>
        <w:rPr>
          <w:szCs w:val="24"/>
        </w:rPr>
      </w:pPr>
      <w:r w:rsidRPr="00FC2145">
        <w:rPr>
          <w:szCs w:val="24"/>
        </w:rPr>
        <w:t xml:space="preserve">Territory </w:t>
      </w:r>
      <w:r w:rsidR="00310AD8" w:rsidRPr="00FC2145">
        <w:rPr>
          <w:szCs w:val="24"/>
        </w:rPr>
        <w:t>in 1948</w:t>
      </w:r>
    </w:p>
    <w:p w:rsidR="00C9334E" w:rsidRPr="00FC2145" w:rsidRDefault="00C9334E" w:rsidP="00C9334E">
      <w:pPr>
        <w:pStyle w:val="BodyText"/>
        <w:jc w:val="lowKashida"/>
        <w:rPr>
          <w:sz w:val="24"/>
          <w:szCs w:val="24"/>
        </w:rPr>
      </w:pPr>
    </w:p>
    <w:p w:rsidR="00C9334E" w:rsidRPr="00FC2145" w:rsidRDefault="00C9334E" w:rsidP="00AA587F">
      <w:pPr>
        <w:pStyle w:val="BodyText"/>
        <w:jc w:val="lowKashida"/>
      </w:pPr>
      <w:r w:rsidRPr="00FC2145">
        <w:t xml:space="preserve">Palestine Catastrophe (Nakba) of 1948 resulted in the occupation of more than three quarters of Palestine. Thus, Israel </w:t>
      </w:r>
      <w:proofErr w:type="gramStart"/>
      <w:r w:rsidRPr="00FC2145">
        <w:t>was established</w:t>
      </w:r>
      <w:proofErr w:type="gramEnd"/>
      <w:r w:rsidRPr="00FC2145">
        <w:t xml:space="preserve"> on that part of Palestine occupied in 1948, </w:t>
      </w:r>
      <w:r w:rsidR="006B1447" w:rsidRPr="00FC2145">
        <w:t xml:space="preserve">which represents </w:t>
      </w:r>
      <w:r w:rsidRPr="00FC2145">
        <w:t xml:space="preserve">78% of historical Palestine. The Palestinian population who remained in their homeland came under direct and complete Israeli sovereignty.  They </w:t>
      </w:r>
      <w:proofErr w:type="gramStart"/>
      <w:r w:rsidRPr="00FC2145">
        <w:t>were considered</w:t>
      </w:r>
      <w:proofErr w:type="gramEnd"/>
      <w:r w:rsidRPr="00FC2145">
        <w:t xml:space="preserve"> Israeli citizens and </w:t>
      </w:r>
      <w:r w:rsidR="00AA587F" w:rsidRPr="00FC2145">
        <w:t xml:space="preserve">were </w:t>
      </w:r>
      <w:r w:rsidRPr="00FC2145">
        <w:t xml:space="preserve">subject to various policies and practices that sought to obliterate the Palestinian identity and culture. </w:t>
      </w:r>
    </w:p>
    <w:p w:rsidR="00C9334E" w:rsidRPr="00FC2145" w:rsidRDefault="00C9334E" w:rsidP="00C9334E">
      <w:pPr>
        <w:jc w:val="lowKashida"/>
        <w:rPr>
          <w:sz w:val="10"/>
          <w:szCs w:val="10"/>
        </w:rPr>
      </w:pPr>
    </w:p>
    <w:p w:rsidR="00C9334E" w:rsidRPr="00FC2145" w:rsidRDefault="00C9334E" w:rsidP="00C9334E">
      <w:pPr>
        <w:jc w:val="lowKashida"/>
      </w:pPr>
      <w:r w:rsidRPr="00FC2145">
        <w:t xml:space="preserve">Statistically speaking, all data on Palestinians living in this part of historical Palestine occupied in 1948 </w:t>
      </w:r>
      <w:proofErr w:type="gramStart"/>
      <w:r w:rsidRPr="00FC2145">
        <w:t>were considered</w:t>
      </w:r>
      <w:proofErr w:type="gramEnd"/>
      <w:r w:rsidRPr="00FC2145">
        <w:t xml:space="preserve"> part of the Israeli statistical system. Thus, all Israeli statistical issues and publications include data on the Palestinian population.</w:t>
      </w:r>
    </w:p>
    <w:p w:rsidR="00C9334E" w:rsidRPr="00FC2145" w:rsidRDefault="00C9334E" w:rsidP="00C9334E">
      <w:pPr>
        <w:jc w:val="lowKashida"/>
        <w:rPr>
          <w:sz w:val="10"/>
          <w:szCs w:val="10"/>
        </w:rPr>
      </w:pPr>
      <w:r w:rsidRPr="00FC2145">
        <w:rPr>
          <w:sz w:val="10"/>
          <w:szCs w:val="10"/>
        </w:rPr>
        <w:t xml:space="preserve"> </w:t>
      </w:r>
    </w:p>
    <w:p w:rsidR="00C9334E" w:rsidRPr="00FC2145" w:rsidRDefault="00C9334E" w:rsidP="003936AC">
      <w:pPr>
        <w:jc w:val="lowKashida"/>
      </w:pPr>
      <w:r w:rsidRPr="00FC2145">
        <w:t xml:space="preserve">The Palestinian Central Bureau of Statistics strove hard to compile, tabulate and disseminate statistical data on the Palestinians living in Israel despite the difficulties, including the scarcity of separate data available on those Palestinians, in addition to the complications associated with compiling statistical data about them. </w:t>
      </w:r>
    </w:p>
    <w:p w:rsidR="00C9334E" w:rsidRPr="00FC2145" w:rsidRDefault="00C9334E" w:rsidP="00C9334E">
      <w:pPr>
        <w:jc w:val="lowKashida"/>
        <w:rPr>
          <w:sz w:val="10"/>
          <w:szCs w:val="10"/>
        </w:rPr>
      </w:pPr>
    </w:p>
    <w:p w:rsidR="00C9334E" w:rsidRPr="00FC2145" w:rsidRDefault="00C9334E" w:rsidP="00C9334E">
      <w:pPr>
        <w:jc w:val="lowKashida"/>
      </w:pPr>
      <w:r w:rsidRPr="00FC2145">
        <w:t xml:space="preserve">Nevertheless, data disseminated in this chapter constitutes a general statistical diagnosis of the Palestinian reality in Israel.  This chapter presents statistics on the Palestinians in Israel including demographic, educational and labor force characteristics.  It is worth noting that such statistics </w:t>
      </w:r>
      <w:proofErr w:type="gramStart"/>
      <w:r w:rsidRPr="00FC2145">
        <w:t>are derived</w:t>
      </w:r>
      <w:proofErr w:type="gramEnd"/>
      <w:r w:rsidRPr="00FC2145">
        <w:t xml:space="preserve"> from the reality of living conditions in Israel. Thus, any possible comparisons for any of the statistical indicators </w:t>
      </w:r>
      <w:proofErr w:type="gramStart"/>
      <w:r w:rsidRPr="00FC2145">
        <w:t>should be made</w:t>
      </w:r>
      <w:proofErr w:type="gramEnd"/>
      <w:r w:rsidRPr="00FC2145">
        <w:t xml:space="preserve"> with those pertinent to the population in Israel and not with the Palestinians in other places. Some changes occurred in the data of this </w:t>
      </w:r>
      <w:proofErr w:type="gramStart"/>
      <w:r w:rsidRPr="00FC2145">
        <w:t>chapter which</w:t>
      </w:r>
      <w:proofErr w:type="gramEnd"/>
      <w:r w:rsidRPr="00FC2145">
        <w:t xml:space="preserve"> refers to revision and modification as in its sources.</w:t>
      </w:r>
    </w:p>
    <w:p w:rsidR="00112829" w:rsidRPr="00FC2145" w:rsidRDefault="00112829" w:rsidP="00C9334E">
      <w:pPr>
        <w:jc w:val="lowKashida"/>
      </w:pPr>
    </w:p>
    <w:p w:rsidR="00112829" w:rsidRPr="00FC2145" w:rsidRDefault="00112829" w:rsidP="00112829">
      <w:pPr>
        <w:jc w:val="lowKashida"/>
      </w:pPr>
      <w:r w:rsidRPr="00FC2145">
        <w:t xml:space="preserve">The data of this chapter does not include Palestinians and Arabs residing within the borders of the territories occupied in 1967 and subsequently annexed to Israel, which are determined mainly in that part of Jerusalem Governorate, which </w:t>
      </w:r>
      <w:proofErr w:type="gramStart"/>
      <w:r w:rsidRPr="00FC2145">
        <w:t>was annexed</w:t>
      </w:r>
      <w:proofErr w:type="gramEnd"/>
      <w:r w:rsidRPr="00FC2145">
        <w:t xml:space="preserve"> by the Israeli occupation by force following its occupation of the West Bank in 1967 and the Syrian Golan </w:t>
      </w:r>
      <w:r w:rsidR="000F485D" w:rsidRPr="00FC2145">
        <w:t>Heights</w:t>
      </w:r>
      <w:r w:rsidR="000F485D" w:rsidRPr="00FC2145">
        <w:rPr>
          <w:rFonts w:hint="cs"/>
          <w:rtl/>
        </w:rPr>
        <w:t>.</w:t>
      </w:r>
    </w:p>
    <w:p w:rsidR="005779E5" w:rsidRPr="00FC2145" w:rsidRDefault="005779E5" w:rsidP="00C9334E">
      <w:pPr>
        <w:jc w:val="both"/>
        <w:rPr>
          <w:b/>
          <w:bCs/>
        </w:rPr>
      </w:pPr>
      <w:bookmarkStart w:id="1" w:name="OLE_LINK3"/>
    </w:p>
    <w:p w:rsidR="00C9334E" w:rsidRPr="00FC2145" w:rsidRDefault="00C9334E" w:rsidP="00C9334E">
      <w:pPr>
        <w:jc w:val="both"/>
        <w:rPr>
          <w:b/>
          <w:bCs/>
        </w:rPr>
      </w:pPr>
      <w:r w:rsidRPr="00FC2145">
        <w:rPr>
          <w:b/>
          <w:bCs/>
        </w:rPr>
        <w:t xml:space="preserve">Population: </w:t>
      </w:r>
    </w:p>
    <w:bookmarkEnd w:id="1"/>
    <w:p w:rsidR="00731202" w:rsidRPr="00FC2145" w:rsidRDefault="00A024A9" w:rsidP="00C847D6">
      <w:pPr>
        <w:numPr>
          <w:ilvl w:val="0"/>
          <w:numId w:val="1"/>
        </w:numPr>
        <w:ind w:left="714" w:hanging="350"/>
        <w:jc w:val="both"/>
        <w:rPr>
          <w:noProof/>
        </w:rPr>
      </w:pPr>
      <w:r w:rsidRPr="00FC2145">
        <w:rPr>
          <w:noProof/>
        </w:rPr>
        <w:t xml:space="preserve">The total population of </w:t>
      </w:r>
      <w:r w:rsidR="008A511C" w:rsidRPr="00FC2145">
        <w:rPr>
          <w:noProof/>
        </w:rPr>
        <w:t xml:space="preserve">those </w:t>
      </w:r>
      <w:r w:rsidRPr="00FC2145">
        <w:rPr>
          <w:noProof/>
        </w:rPr>
        <w:t xml:space="preserve">areas at the end of </w:t>
      </w:r>
      <w:r w:rsidR="0038324B">
        <w:rPr>
          <w:noProof/>
        </w:rPr>
        <w:t>2020</w:t>
      </w:r>
      <w:r w:rsidRPr="00FC2145">
        <w:rPr>
          <w:noProof/>
        </w:rPr>
        <w:t xml:space="preserve"> was 1.</w:t>
      </w:r>
      <w:r w:rsidR="007B00E8" w:rsidRPr="00FC2145">
        <w:rPr>
          <w:noProof/>
        </w:rPr>
        <w:t>5</w:t>
      </w:r>
      <w:r w:rsidR="00C847D6">
        <w:rPr>
          <w:noProof/>
        </w:rPr>
        <w:t>5</w:t>
      </w:r>
      <w:r w:rsidRPr="00FC2145">
        <w:rPr>
          <w:noProof/>
        </w:rPr>
        <w:t xml:space="preserve"> million (excluding the residents of occupied East Jerusalem and the Golan Heights).</w:t>
      </w:r>
    </w:p>
    <w:p w:rsidR="00731202" w:rsidRPr="00FC2145" w:rsidRDefault="00731202" w:rsidP="0038324B">
      <w:pPr>
        <w:numPr>
          <w:ilvl w:val="0"/>
          <w:numId w:val="1"/>
        </w:numPr>
        <w:ind w:left="714" w:hanging="350"/>
        <w:jc w:val="both"/>
        <w:rPr>
          <w:noProof/>
        </w:rPr>
      </w:pPr>
      <w:r w:rsidRPr="00FC2145">
        <w:rPr>
          <w:noProof/>
        </w:rPr>
        <w:t xml:space="preserve">The total fertility rate for Palestinian women during </w:t>
      </w:r>
      <w:r w:rsidR="0038324B">
        <w:rPr>
          <w:noProof/>
        </w:rPr>
        <w:t>2020</w:t>
      </w:r>
      <w:r w:rsidRPr="00FC2145">
        <w:rPr>
          <w:noProof/>
        </w:rPr>
        <w:t xml:space="preserve"> was </w:t>
      </w:r>
      <w:r w:rsidR="007B00E8" w:rsidRPr="00FC2145">
        <w:rPr>
          <w:noProof/>
        </w:rPr>
        <w:t>2.</w:t>
      </w:r>
      <w:r w:rsidR="0038324B">
        <w:rPr>
          <w:noProof/>
        </w:rPr>
        <w:t>82</w:t>
      </w:r>
      <w:r w:rsidRPr="00FC2145">
        <w:rPr>
          <w:noProof/>
        </w:rPr>
        <w:t xml:space="preserve"> births.</w:t>
      </w:r>
    </w:p>
    <w:p w:rsidR="000414D0" w:rsidRDefault="000414D0" w:rsidP="0038324B">
      <w:pPr>
        <w:numPr>
          <w:ilvl w:val="0"/>
          <w:numId w:val="1"/>
        </w:numPr>
        <w:ind w:left="714" w:hanging="350"/>
        <w:jc w:val="both"/>
        <w:rPr>
          <w:noProof/>
        </w:rPr>
      </w:pPr>
      <w:r w:rsidRPr="00FC2145">
        <w:rPr>
          <w:noProof/>
        </w:rPr>
        <w:t xml:space="preserve">The average size of </w:t>
      </w:r>
      <w:r w:rsidR="003936AC" w:rsidRPr="00FC2145">
        <w:rPr>
          <w:noProof/>
        </w:rPr>
        <w:t xml:space="preserve">the </w:t>
      </w:r>
      <w:r w:rsidRPr="00FC2145">
        <w:rPr>
          <w:noProof/>
        </w:rPr>
        <w:t>Palestinian household was 4.</w:t>
      </w:r>
      <w:r w:rsidR="0038324B">
        <w:rPr>
          <w:noProof/>
        </w:rPr>
        <w:t>35</w:t>
      </w:r>
      <w:r w:rsidRPr="00FC2145">
        <w:rPr>
          <w:noProof/>
        </w:rPr>
        <w:t xml:space="preserve"> persons in </w:t>
      </w:r>
      <w:r w:rsidR="0038324B">
        <w:rPr>
          <w:noProof/>
        </w:rPr>
        <w:t>2020</w:t>
      </w:r>
      <w:r w:rsidRPr="00FC2145">
        <w:rPr>
          <w:noProof/>
        </w:rPr>
        <w:t>.</w:t>
      </w:r>
    </w:p>
    <w:p w:rsidR="002F120C" w:rsidRDefault="002F120C" w:rsidP="002F120C">
      <w:pPr>
        <w:ind w:left="364"/>
        <w:jc w:val="both"/>
        <w:rPr>
          <w:noProof/>
        </w:rPr>
      </w:pPr>
    </w:p>
    <w:p w:rsidR="002F120C" w:rsidRPr="002F120C" w:rsidRDefault="002F120C" w:rsidP="002F120C">
      <w:pPr>
        <w:jc w:val="both"/>
        <w:rPr>
          <w:b/>
          <w:bCs/>
        </w:rPr>
      </w:pPr>
      <w:proofErr w:type="spellStart"/>
      <w:r w:rsidRPr="002F120C">
        <w:rPr>
          <w:b/>
          <w:bCs/>
        </w:rPr>
        <w:t>Labour</w:t>
      </w:r>
      <w:proofErr w:type="spellEnd"/>
      <w:r w:rsidRPr="002F120C">
        <w:rPr>
          <w:b/>
          <w:bCs/>
        </w:rPr>
        <w:t xml:space="preserve"> Force:</w:t>
      </w:r>
    </w:p>
    <w:p w:rsidR="002F120C" w:rsidRPr="00FC2145" w:rsidRDefault="002F120C" w:rsidP="000932AE">
      <w:pPr>
        <w:numPr>
          <w:ilvl w:val="0"/>
          <w:numId w:val="1"/>
        </w:numPr>
        <w:ind w:left="714" w:hanging="350"/>
        <w:jc w:val="both"/>
        <w:rPr>
          <w:noProof/>
        </w:rPr>
      </w:pPr>
      <w:r w:rsidRPr="00FC2145">
        <w:rPr>
          <w:noProof/>
        </w:rPr>
        <w:t>The labour force participation among</w:t>
      </w:r>
      <w:r w:rsidR="000932AE">
        <w:rPr>
          <w:noProof/>
        </w:rPr>
        <w:t xml:space="preserve"> the </w:t>
      </w:r>
      <w:r w:rsidRPr="00FC2145">
        <w:rPr>
          <w:noProof/>
        </w:rPr>
        <w:t xml:space="preserve"> </w:t>
      </w:r>
      <w:r w:rsidR="000932AE">
        <w:rPr>
          <w:noProof/>
        </w:rPr>
        <w:t xml:space="preserve">Youth </w:t>
      </w:r>
      <w:r w:rsidRPr="00FC2145">
        <w:rPr>
          <w:noProof/>
        </w:rPr>
        <w:t xml:space="preserve"> (</w:t>
      </w:r>
      <w:r w:rsidR="000932AE">
        <w:rPr>
          <w:noProof/>
        </w:rPr>
        <w:t>18</w:t>
      </w:r>
      <w:r w:rsidRPr="00FC2145">
        <w:rPr>
          <w:noProof/>
        </w:rPr>
        <w:t xml:space="preserve"> </w:t>
      </w:r>
      <w:r w:rsidR="000932AE">
        <w:rPr>
          <w:noProof/>
        </w:rPr>
        <w:t>-35</w:t>
      </w:r>
      <w:r w:rsidR="00C847D6">
        <w:rPr>
          <w:noProof/>
        </w:rPr>
        <w:t xml:space="preserve"> Years</w:t>
      </w:r>
      <w:r w:rsidRPr="00FC2145">
        <w:rPr>
          <w:noProof/>
        </w:rPr>
        <w:t xml:space="preserve">) was </w:t>
      </w:r>
      <w:r w:rsidR="000932AE">
        <w:rPr>
          <w:noProof/>
        </w:rPr>
        <w:t>64.7</w:t>
      </w:r>
      <w:r w:rsidRPr="00FC2145">
        <w:rPr>
          <w:noProof/>
        </w:rPr>
        <w:t xml:space="preserve">%: </w:t>
      </w:r>
      <w:r w:rsidR="000932AE">
        <w:rPr>
          <w:noProof/>
        </w:rPr>
        <w:t>77.8</w:t>
      </w:r>
      <w:r w:rsidRPr="00FC2145">
        <w:rPr>
          <w:noProof/>
        </w:rPr>
        <w:t xml:space="preserve">% for males, and </w:t>
      </w:r>
      <w:r w:rsidR="000932AE">
        <w:rPr>
          <w:noProof/>
        </w:rPr>
        <w:t>51.1</w:t>
      </w:r>
      <w:r w:rsidRPr="00FC2145">
        <w:rPr>
          <w:noProof/>
        </w:rPr>
        <w:t xml:space="preserve">% for females in </w:t>
      </w:r>
      <w:r w:rsidR="000932AE">
        <w:rPr>
          <w:noProof/>
        </w:rPr>
        <w:t>2020</w:t>
      </w:r>
      <w:r w:rsidRPr="00FC2145">
        <w:rPr>
          <w:noProof/>
        </w:rPr>
        <w:t>.</w:t>
      </w:r>
    </w:p>
    <w:p w:rsidR="00850EF9" w:rsidRPr="00FC2145" w:rsidRDefault="00850EF9" w:rsidP="009A2628">
      <w:pPr>
        <w:jc w:val="both"/>
        <w:rPr>
          <w:b/>
          <w:bCs/>
        </w:rPr>
      </w:pPr>
    </w:p>
    <w:p w:rsidR="00C9334E" w:rsidRPr="00FC2145" w:rsidRDefault="00C9334E" w:rsidP="009A2628">
      <w:pPr>
        <w:jc w:val="both"/>
        <w:rPr>
          <w:b/>
          <w:bCs/>
        </w:rPr>
      </w:pPr>
      <w:r w:rsidRPr="00FC2145">
        <w:rPr>
          <w:b/>
          <w:bCs/>
        </w:rPr>
        <w:t xml:space="preserve">Education: </w:t>
      </w:r>
    </w:p>
    <w:p w:rsidR="00F70417" w:rsidRPr="00FC2145" w:rsidRDefault="00F70417" w:rsidP="000932AE">
      <w:pPr>
        <w:numPr>
          <w:ilvl w:val="0"/>
          <w:numId w:val="1"/>
        </w:numPr>
        <w:ind w:left="714" w:hanging="350"/>
        <w:jc w:val="both"/>
        <w:rPr>
          <w:noProof/>
        </w:rPr>
      </w:pPr>
      <w:r w:rsidRPr="00FC2145">
        <w:rPr>
          <w:noProof/>
        </w:rPr>
        <w:t xml:space="preserve">There were </w:t>
      </w:r>
      <w:r w:rsidR="000932AE">
        <w:rPr>
          <w:noProof/>
        </w:rPr>
        <w:t>667</w:t>
      </w:r>
      <w:r w:rsidRPr="00FC2145">
        <w:rPr>
          <w:noProof/>
        </w:rPr>
        <w:t xml:space="preserve"> schools, including </w:t>
      </w:r>
      <w:r w:rsidR="000932AE">
        <w:rPr>
          <w:noProof/>
        </w:rPr>
        <w:t>584</w:t>
      </w:r>
      <w:r w:rsidRPr="00FC2145">
        <w:rPr>
          <w:noProof/>
        </w:rPr>
        <w:t xml:space="preserve"> primary schools</w:t>
      </w:r>
      <w:r w:rsidR="003936AC" w:rsidRPr="00FC2145">
        <w:rPr>
          <w:noProof/>
        </w:rPr>
        <w:t xml:space="preserve"> and </w:t>
      </w:r>
      <w:r w:rsidR="000932AE">
        <w:rPr>
          <w:noProof/>
        </w:rPr>
        <w:t>83</w:t>
      </w:r>
      <w:r w:rsidR="00806800" w:rsidRPr="00FC2145">
        <w:rPr>
          <w:noProof/>
        </w:rPr>
        <w:t xml:space="preserve"> </w:t>
      </w:r>
      <w:r w:rsidRPr="00FC2145">
        <w:rPr>
          <w:noProof/>
        </w:rPr>
        <w:t>schools for children with special needs</w:t>
      </w:r>
      <w:r w:rsidR="007B00E8" w:rsidRPr="00FC2145">
        <w:rPr>
          <w:noProof/>
        </w:rPr>
        <w:t xml:space="preserve"> in </w:t>
      </w:r>
      <w:r w:rsidR="000932AE">
        <w:rPr>
          <w:noProof/>
        </w:rPr>
        <w:t>2020</w:t>
      </w:r>
      <w:r w:rsidR="007B00E8" w:rsidRPr="00FC2145">
        <w:rPr>
          <w:noProof/>
        </w:rPr>
        <w:t>/</w:t>
      </w:r>
      <w:r w:rsidR="000932AE">
        <w:rPr>
          <w:noProof/>
        </w:rPr>
        <w:t>2021</w:t>
      </w:r>
      <w:r w:rsidRPr="00FC2145">
        <w:rPr>
          <w:noProof/>
        </w:rPr>
        <w:t xml:space="preserve">, </w:t>
      </w:r>
      <w:r w:rsidR="000932AE">
        <w:rPr>
          <w:noProof/>
        </w:rPr>
        <w:t>224</w:t>
      </w:r>
      <w:r w:rsidRPr="00FC2145">
        <w:rPr>
          <w:noProof/>
        </w:rPr>
        <w:t xml:space="preserve"> intermediate schools and </w:t>
      </w:r>
      <w:r w:rsidR="000932AE">
        <w:rPr>
          <w:noProof/>
        </w:rPr>
        <w:t>400</w:t>
      </w:r>
      <w:r w:rsidRPr="00FC2145">
        <w:rPr>
          <w:noProof/>
        </w:rPr>
        <w:t xml:space="preserve"> secondary schools</w:t>
      </w:r>
      <w:r w:rsidR="009A2628" w:rsidRPr="00FC2145">
        <w:rPr>
          <w:noProof/>
        </w:rPr>
        <w:t xml:space="preserve"> in </w:t>
      </w:r>
      <w:r w:rsidR="000932AE">
        <w:rPr>
          <w:noProof/>
        </w:rPr>
        <w:t>2020</w:t>
      </w:r>
      <w:r w:rsidR="009A2628" w:rsidRPr="00FC2145">
        <w:rPr>
          <w:noProof/>
        </w:rPr>
        <w:t>/</w:t>
      </w:r>
      <w:r w:rsidR="000932AE">
        <w:rPr>
          <w:noProof/>
        </w:rPr>
        <w:t>2021</w:t>
      </w:r>
      <w:r w:rsidRPr="00FC2145">
        <w:rPr>
          <w:noProof/>
        </w:rPr>
        <w:t>.</w:t>
      </w:r>
    </w:p>
    <w:p w:rsidR="00C54A6C" w:rsidRPr="00FC2145" w:rsidRDefault="00C54A6C" w:rsidP="00C54A6C">
      <w:pPr>
        <w:ind w:left="714"/>
        <w:jc w:val="both"/>
        <w:rPr>
          <w:noProof/>
        </w:rPr>
      </w:pPr>
    </w:p>
    <w:p w:rsidR="00F70417" w:rsidRPr="00FC2145" w:rsidRDefault="00F70417" w:rsidP="00F70417">
      <w:pPr>
        <w:ind w:left="-14"/>
        <w:jc w:val="both"/>
        <w:rPr>
          <w:noProof/>
          <w:sz w:val="10"/>
          <w:szCs w:val="10"/>
        </w:rPr>
      </w:pPr>
    </w:p>
    <w:p w:rsidR="00742C2C" w:rsidRPr="00FC2145" w:rsidRDefault="00742C2C" w:rsidP="00F70417">
      <w:pPr>
        <w:ind w:left="-14"/>
        <w:jc w:val="both"/>
        <w:rPr>
          <w:noProof/>
          <w:sz w:val="10"/>
          <w:szCs w:val="10"/>
        </w:rPr>
      </w:pPr>
    </w:p>
    <w:p w:rsidR="00742C2C" w:rsidRPr="00FC2145" w:rsidRDefault="00742C2C" w:rsidP="00342648">
      <w:pPr>
        <w:pStyle w:val="ListParagraph"/>
        <w:bidi w:val="0"/>
        <w:ind w:left="360"/>
        <w:jc w:val="lowKashida"/>
        <w:rPr>
          <w:rFonts w:cs="Times New Roman"/>
          <w:b/>
          <w:bCs/>
          <w:i/>
          <w:iCs/>
          <w:sz w:val="18"/>
          <w:szCs w:val="18"/>
          <w:u w:val="single"/>
        </w:rPr>
      </w:pPr>
      <w:r w:rsidRPr="00FC2145">
        <w:rPr>
          <w:rFonts w:cs="Times New Roman"/>
          <w:b/>
          <w:bCs/>
          <w:i/>
          <w:iCs/>
          <w:sz w:val="18"/>
          <w:szCs w:val="18"/>
          <w:u w:val="single"/>
        </w:rPr>
        <w:t xml:space="preserve">For more details on Palestinians in the Occupied Palestinian Territory in 1948, see the tables in chapter 2 of the Arabic section, pages </w:t>
      </w:r>
      <w:r w:rsidR="00342648">
        <w:rPr>
          <w:rFonts w:cs="Times New Roman"/>
          <w:b/>
          <w:bCs/>
          <w:i/>
          <w:iCs/>
          <w:sz w:val="18"/>
          <w:szCs w:val="18"/>
          <w:u w:val="single"/>
        </w:rPr>
        <w:t>195</w:t>
      </w:r>
      <w:r w:rsidRPr="00FC2145">
        <w:rPr>
          <w:rFonts w:cs="Times New Roman"/>
          <w:b/>
          <w:bCs/>
          <w:i/>
          <w:iCs/>
          <w:sz w:val="18"/>
          <w:szCs w:val="18"/>
          <w:u w:val="single"/>
        </w:rPr>
        <w:t>-</w:t>
      </w:r>
      <w:r w:rsidR="00342648">
        <w:rPr>
          <w:rFonts w:cs="Times New Roman"/>
          <w:b/>
          <w:bCs/>
          <w:i/>
          <w:iCs/>
          <w:sz w:val="18"/>
          <w:szCs w:val="18"/>
          <w:u w:val="single"/>
        </w:rPr>
        <w:t>210</w:t>
      </w:r>
      <w:r w:rsidRPr="00FC2145">
        <w:rPr>
          <w:rFonts w:cs="Times New Roman"/>
          <w:b/>
          <w:bCs/>
          <w:i/>
          <w:iCs/>
          <w:sz w:val="18"/>
          <w:szCs w:val="18"/>
          <w:u w:val="single"/>
        </w:rPr>
        <w:t>.</w:t>
      </w:r>
    </w:p>
    <w:p w:rsidR="003640B2" w:rsidRPr="00FC2145" w:rsidRDefault="003640B2" w:rsidP="007B3C9D">
      <w:pPr>
        <w:numPr>
          <w:ilvl w:val="0"/>
          <w:numId w:val="1"/>
        </w:numPr>
        <w:ind w:left="714" w:hanging="350"/>
        <w:jc w:val="both"/>
        <w:rPr>
          <w:noProof/>
        </w:rPr>
      </w:pPr>
      <w:r w:rsidRPr="00FC2145">
        <w:rPr>
          <w:noProof/>
        </w:rPr>
        <w:lastRenderedPageBreak/>
        <w:br w:type="page"/>
      </w:r>
    </w:p>
    <w:p w:rsidR="00B5698C" w:rsidRPr="00FC2145" w:rsidRDefault="00C65AB2" w:rsidP="007253BE">
      <w:pPr>
        <w:pStyle w:val="Title"/>
        <w:bidi w:val="0"/>
      </w:pPr>
      <w:r w:rsidRPr="00FC2145">
        <w:lastRenderedPageBreak/>
        <w:t>Palestinians in the Diaspora</w:t>
      </w:r>
    </w:p>
    <w:p w:rsidR="00B5698C" w:rsidRPr="00FC2145" w:rsidRDefault="00FA472E" w:rsidP="00B5698C">
      <w:pPr>
        <w:jc w:val="both"/>
        <w:rPr>
          <w:sz w:val="10"/>
          <w:szCs w:val="10"/>
        </w:rPr>
      </w:pPr>
      <w:r w:rsidRPr="00FC2145">
        <w:rPr>
          <w:noProof/>
        </w:rPr>
        <mc:AlternateContent>
          <mc:Choice Requires="wps">
            <w:drawing>
              <wp:anchor distT="0" distB="0" distL="114300" distR="114300" simplePos="0" relativeHeight="251661824" behindDoc="0" locked="0" layoutInCell="1" allowOverlap="1">
                <wp:simplePos x="0" y="0"/>
                <wp:positionH relativeFrom="column">
                  <wp:posOffset>3852545</wp:posOffset>
                </wp:positionH>
                <wp:positionV relativeFrom="paragraph">
                  <wp:posOffset>-289560</wp:posOffset>
                </wp:positionV>
                <wp:extent cx="533400" cy="304800"/>
                <wp:effectExtent l="10160" t="5715" r="8890" b="13335"/>
                <wp:wrapNone/>
                <wp:docPr id="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304800"/>
                        </a:xfrm>
                        <a:prstGeom prst="rect">
                          <a:avLst/>
                        </a:prstGeom>
                        <a:solidFill>
                          <a:srgbClr val="FFFFFF"/>
                        </a:solidFill>
                        <a:ln w="9525">
                          <a:solidFill>
                            <a:srgbClr val="000000"/>
                          </a:solidFill>
                          <a:miter lim="800000"/>
                          <a:headEnd/>
                          <a:tailEnd/>
                        </a:ln>
                      </wps:spPr>
                      <wps:txbx>
                        <w:txbxContent>
                          <w:p w:rsidR="008832A6" w:rsidRDefault="008832A6" w:rsidP="003C6F02">
                            <w:pPr>
                              <w:jc w:val="center"/>
                              <w:rPr>
                                <w:b/>
                                <w:bCs/>
                                <w:sz w:val="28"/>
                                <w:szCs w:val="28"/>
                              </w:rPr>
                            </w:pPr>
                            <w:r>
                              <w:rPr>
                                <w:b/>
                                <w:bCs/>
                                <w:sz w:val="28"/>
                                <w:szCs w:val="28"/>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8" style="position:absolute;left:0;text-align:left;margin-left:303.35pt;margin-top:-22.8pt;width:42pt;height:2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">
                <v:textbox>
                  <w:txbxContent>
                    <w:p w:rsidR="008832A6" w:rsidRDefault="008832A6" w:rsidP="003C6F02">
                      <w:pPr>
                        <w:jc w:val="center"/>
                        <w:rPr>
                          <w:b/>
                          <w:bCs/>
                          <w:sz w:val="28"/>
                          <w:szCs w:val="28"/>
                        </w:rPr>
                      </w:pPr>
                      <w:r>
                        <w:rPr>
                          <w:b/>
                          <w:bCs/>
                          <w:sz w:val="28"/>
                          <w:szCs w:val="28"/>
                        </w:rPr>
                        <w:t>3.1</w:t>
                      </w:r>
                    </w:p>
                  </w:txbxContent>
                </v:textbox>
              </v:rect>
            </w:pict>
          </mc:Fallback>
        </mc:AlternateContent>
      </w:r>
    </w:p>
    <w:p w:rsidR="00DC67CE" w:rsidRPr="00FC2145" w:rsidRDefault="00DC67CE" w:rsidP="00DC67CE">
      <w:pPr>
        <w:ind w:left="-14"/>
        <w:jc w:val="both"/>
        <w:rPr>
          <w:noProof/>
        </w:rPr>
      </w:pPr>
      <w:bookmarkStart w:id="2" w:name="OLE_LINK1"/>
    </w:p>
    <w:p w:rsidR="00C9334E" w:rsidRPr="00FC2145" w:rsidRDefault="00C9334E" w:rsidP="00C82375">
      <w:pPr>
        <w:jc w:val="lowKashida"/>
      </w:pPr>
      <w:r w:rsidRPr="00FC2145">
        <w:t xml:space="preserve">The Nakba (Catastrophe) constituted a black period in </w:t>
      </w:r>
      <w:r w:rsidR="00204A61" w:rsidRPr="00FC2145">
        <w:t xml:space="preserve">the </w:t>
      </w:r>
      <w:r w:rsidRPr="00FC2145">
        <w:t>Palestinian history,</w:t>
      </w:r>
      <w:r w:rsidRPr="00FC2145">
        <w:rPr>
          <w:rFonts w:hint="cs"/>
          <w:rtl/>
          <w:lang w:val="en-GB"/>
        </w:rPr>
        <w:t xml:space="preserve"> </w:t>
      </w:r>
      <w:r w:rsidRPr="00FC2145">
        <w:t xml:space="preserve">when the Palestinian people </w:t>
      </w:r>
      <w:proofErr w:type="gramStart"/>
      <w:r w:rsidRPr="00FC2145">
        <w:t>were confronted</w:t>
      </w:r>
      <w:proofErr w:type="gramEnd"/>
      <w:r w:rsidRPr="00FC2145">
        <w:t xml:space="preserve"> with indescribable acts of oppression, dispossession and suffering.</w:t>
      </w:r>
    </w:p>
    <w:p w:rsidR="00C9334E" w:rsidRPr="00FC2145" w:rsidRDefault="00C9334E" w:rsidP="00C9334E">
      <w:pPr>
        <w:jc w:val="lowKashida"/>
      </w:pPr>
    </w:p>
    <w:p w:rsidR="00C9334E" w:rsidRPr="00FC2145" w:rsidRDefault="00C9334E" w:rsidP="001C6114">
      <w:pPr>
        <w:jc w:val="lowKashida"/>
      </w:pPr>
      <w:r w:rsidRPr="00FC2145">
        <w:t xml:space="preserve">Palestinians who sought refuge in countries outside Palestine encountered all types of abuse and agonies.  On one hand, they </w:t>
      </w:r>
      <w:proofErr w:type="gramStart"/>
      <w:r w:rsidRPr="00FC2145">
        <w:t>were uprooted from their homeland and deprived of their property and homes</w:t>
      </w:r>
      <w:proofErr w:type="gramEnd"/>
      <w:r w:rsidRPr="00FC2145">
        <w:t xml:space="preserve">.  On the other hand, they sought refuge in countries where they had no power or will. At the time of their dispossession, the Palestinians felt that their expulsion and refugee status would be temporary. They believed that their situation would not last more than several weeks or months, after which they would return in victory and with their honor restored. Thus, they paid little attention to their living circumstances in their host countries. </w:t>
      </w:r>
      <w:r w:rsidR="00C82FEC" w:rsidRPr="00FC2145">
        <w:t xml:space="preserve">Their hearts remained with Palestine, waiting for the signal for return. Year after another they realized that the Nakba </w:t>
      </w:r>
      <w:r w:rsidRPr="00FC2145">
        <w:t xml:space="preserve">would last longer than </w:t>
      </w:r>
      <w:proofErr w:type="gramStart"/>
      <w:r w:rsidRPr="00FC2145">
        <w:t>expected,</w:t>
      </w:r>
      <w:proofErr w:type="gramEnd"/>
      <w:r w:rsidRPr="00FC2145">
        <w:t xml:space="preserve"> and that Palestinians would endure more pain and suffering. Popular movements and organizations emerged to defend the rights of the Palestinians wherever they were located. The situation remained unchanged with no unified political and powerful entity representing all the Palestinians of the Diaspora until the foundation of the Palestine Liberation Organization (PLO). The emergence of the Palestinian revolt in 1965 caught the attention of most countries and gained their recognition. The PLO then became the sole political representative of all Palestinians everywhere, in spite of the fact that part of the Palestinian territory was subject to Arab administration (Jordan in the West Bank and Egypt in Gaza Strip).</w:t>
      </w:r>
    </w:p>
    <w:p w:rsidR="00C9334E" w:rsidRPr="00FC2145" w:rsidRDefault="00C9334E" w:rsidP="00C9334E">
      <w:pPr>
        <w:jc w:val="lowKashida"/>
      </w:pPr>
    </w:p>
    <w:p w:rsidR="00C9334E" w:rsidRPr="00FC2145" w:rsidRDefault="00C9334E" w:rsidP="00C01D28">
      <w:pPr>
        <w:jc w:val="lowKashida"/>
      </w:pPr>
      <w:r w:rsidRPr="00FC2145">
        <w:t xml:space="preserve">PCBS has been constantly working on collecting, tabulating and disseminating statistical data on the Palestinians both in Palestine and in the Diaspora.  This task always </w:t>
      </w:r>
      <w:r w:rsidR="00541629" w:rsidRPr="00FC2145">
        <w:t xml:space="preserve">faces </w:t>
      </w:r>
      <w:r w:rsidRPr="00FC2145">
        <w:t>several constraints such as the shortage of separate</w:t>
      </w:r>
      <w:r w:rsidR="00C01D28" w:rsidRPr="00FC2145">
        <w:t xml:space="preserve"> and </w:t>
      </w:r>
      <w:r w:rsidR="00CC4460" w:rsidRPr="00FC2145">
        <w:t>independent</w:t>
      </w:r>
      <w:r w:rsidRPr="00FC2145">
        <w:t xml:space="preserve"> data on Palestinians in the Diaspora, as well as </w:t>
      </w:r>
      <w:r w:rsidR="007F4A1F" w:rsidRPr="00FC2145">
        <w:t>the</w:t>
      </w:r>
      <w:r w:rsidRPr="00FC2145">
        <w:t xml:space="preserve"> </w:t>
      </w:r>
      <w:r w:rsidR="007F4A1F" w:rsidRPr="00FC2145">
        <w:t>outdate</w:t>
      </w:r>
      <w:r w:rsidR="00C01D28" w:rsidRPr="00FC2145">
        <w:t>d</w:t>
      </w:r>
      <w:r w:rsidRPr="00FC2145">
        <w:t xml:space="preserve"> </w:t>
      </w:r>
      <w:r w:rsidR="007F4A1F" w:rsidRPr="00FC2145">
        <w:t xml:space="preserve">available </w:t>
      </w:r>
      <w:r w:rsidRPr="00FC2145">
        <w:t>data</w:t>
      </w:r>
      <w:proofErr w:type="gramStart"/>
      <w:r w:rsidRPr="00FC2145">
        <w:t>;</w:t>
      </w:r>
      <w:proofErr w:type="gramEnd"/>
      <w:r w:rsidRPr="00FC2145">
        <w:t xml:space="preserve"> </w:t>
      </w:r>
      <w:r w:rsidR="00C01D28" w:rsidRPr="00FC2145">
        <w:t xml:space="preserve">which is </w:t>
      </w:r>
      <w:r w:rsidR="00C82FEC" w:rsidRPr="00FC2145">
        <w:t>mainly excerpted from</w:t>
      </w:r>
      <w:r w:rsidRPr="00FC2145">
        <w:t xml:space="preserve"> UNRWA records.  We hope to overcome </w:t>
      </w:r>
      <w:r w:rsidR="00C01D28" w:rsidRPr="00FC2145">
        <w:t xml:space="preserve">those </w:t>
      </w:r>
      <w:r w:rsidRPr="00FC2145">
        <w:t xml:space="preserve">constraints in the near future.  </w:t>
      </w:r>
    </w:p>
    <w:p w:rsidR="00C9334E" w:rsidRPr="00FC2145" w:rsidRDefault="00C9334E" w:rsidP="00C9334E">
      <w:pPr>
        <w:jc w:val="lowKashida"/>
      </w:pPr>
    </w:p>
    <w:p w:rsidR="00C9334E" w:rsidRPr="00FC2145" w:rsidRDefault="00C9334E" w:rsidP="00C9334E">
      <w:pPr>
        <w:jc w:val="lowKashida"/>
      </w:pPr>
      <w:r w:rsidRPr="00FC2145">
        <w:t xml:space="preserve">The difficulty in creating a statistical database about Palestinians in the Diaspora lies in their dispersion both among a number of countries and within different areas of such countries. The Palestinians did not consider their communities as isolated ghettos; instead, they participated in the life of the countries they resided in, but retained their distinctiveness and identity at the same time.  The civil and administrative laws of the host countries made this task more difficult, by preventing integration with the population that resides there. </w:t>
      </w:r>
    </w:p>
    <w:p w:rsidR="00C9334E" w:rsidRPr="00FC2145" w:rsidRDefault="00C9334E" w:rsidP="00C9334E">
      <w:pPr>
        <w:jc w:val="lowKashida"/>
      </w:pPr>
    </w:p>
    <w:p w:rsidR="00C9334E" w:rsidRPr="00FC2145" w:rsidRDefault="00973D78" w:rsidP="00973D78">
      <w:pPr>
        <w:jc w:val="lowKashida"/>
      </w:pPr>
      <w:r w:rsidRPr="00FC2145">
        <w:t xml:space="preserve">Those </w:t>
      </w:r>
      <w:r w:rsidR="00C9334E" w:rsidRPr="00FC2145">
        <w:t>hindrances and other subjective complications made it difficult to provide consistent and comprehensive statistical data on all Palestinians in the Diaspora.</w:t>
      </w:r>
    </w:p>
    <w:p w:rsidR="00C9334E" w:rsidRPr="00FC2145" w:rsidRDefault="00C9334E" w:rsidP="00C9334E">
      <w:pPr>
        <w:jc w:val="lowKashida"/>
      </w:pPr>
      <w:r w:rsidRPr="00FC2145">
        <w:t>This chapter puts forth a set of data and statistical indicators dealing with population, employment, education, health and living and housing conditions for the Palestinians living in the Diaspora, especially in Jordan, Syria and Lebanon.</w:t>
      </w:r>
    </w:p>
    <w:p w:rsidR="00C9334E" w:rsidRPr="00FC2145" w:rsidRDefault="00C9334E" w:rsidP="00C9334E">
      <w:pPr>
        <w:jc w:val="lowKashida"/>
      </w:pPr>
    </w:p>
    <w:p w:rsidR="00850EF9" w:rsidRPr="00FC2145" w:rsidRDefault="00850EF9">
      <w:pPr>
        <w:overflowPunct/>
        <w:autoSpaceDE/>
        <w:autoSpaceDN/>
        <w:adjustRightInd/>
        <w:textAlignment w:val="auto"/>
        <w:rPr>
          <w:b/>
          <w:bCs/>
        </w:rPr>
      </w:pPr>
      <w:r w:rsidRPr="00FC2145">
        <w:rPr>
          <w:b/>
          <w:bCs/>
        </w:rPr>
        <w:br w:type="page"/>
      </w:r>
    </w:p>
    <w:p w:rsidR="00C9334E" w:rsidRPr="00FC2145" w:rsidRDefault="00C9334E" w:rsidP="00C9334E">
      <w:pPr>
        <w:jc w:val="both"/>
        <w:rPr>
          <w:b/>
          <w:bCs/>
        </w:rPr>
      </w:pPr>
      <w:r w:rsidRPr="00FC2145">
        <w:rPr>
          <w:b/>
          <w:bCs/>
        </w:rPr>
        <w:lastRenderedPageBreak/>
        <w:t xml:space="preserve">Population: </w:t>
      </w:r>
    </w:p>
    <w:bookmarkEnd w:id="2"/>
    <w:p w:rsidR="00BB6D0F" w:rsidRPr="00FC2145" w:rsidRDefault="00BB6D0F" w:rsidP="004E7170">
      <w:pPr>
        <w:jc w:val="lowKashida"/>
        <w:rPr>
          <w:sz w:val="10"/>
          <w:szCs w:val="10"/>
        </w:rPr>
      </w:pPr>
    </w:p>
    <w:p w:rsidR="00B53B3A" w:rsidRPr="00FC2145" w:rsidRDefault="00B53B3A" w:rsidP="00296D88">
      <w:pPr>
        <w:numPr>
          <w:ilvl w:val="0"/>
          <w:numId w:val="1"/>
        </w:numPr>
        <w:ind w:left="714" w:hanging="350"/>
        <w:jc w:val="both"/>
        <w:rPr>
          <w:noProof/>
        </w:rPr>
      </w:pPr>
      <w:r w:rsidRPr="00FC2145">
        <w:rPr>
          <w:noProof/>
        </w:rPr>
        <w:t xml:space="preserve">There were </w:t>
      </w:r>
      <w:r w:rsidR="001F4A25" w:rsidRPr="00FC2145">
        <w:rPr>
          <w:noProof/>
        </w:rPr>
        <w:t>6.</w:t>
      </w:r>
      <w:r w:rsidR="00296D88" w:rsidRPr="00FC2145">
        <w:rPr>
          <w:noProof/>
        </w:rPr>
        <w:t>4</w:t>
      </w:r>
      <w:r w:rsidRPr="00FC2145">
        <w:rPr>
          <w:noProof/>
        </w:rPr>
        <w:t xml:space="preserve"> million Palestinian refugees registered in Jordan, Syria, Lebanon and Palestine </w:t>
      </w:r>
      <w:r w:rsidR="000F485D" w:rsidRPr="00FC2145">
        <w:rPr>
          <w:noProof/>
        </w:rPr>
        <w:t xml:space="preserve">at the end of </w:t>
      </w:r>
      <w:r w:rsidR="00296D88" w:rsidRPr="00FC2145">
        <w:rPr>
          <w:noProof/>
        </w:rPr>
        <w:t>2020</w:t>
      </w:r>
      <w:r w:rsidRPr="00FC2145">
        <w:rPr>
          <w:noProof/>
        </w:rPr>
        <w:t>.</w:t>
      </w:r>
    </w:p>
    <w:p w:rsidR="00C9334E" w:rsidRPr="00FC2145" w:rsidRDefault="00C9334E" w:rsidP="00C9334E">
      <w:pPr>
        <w:jc w:val="both"/>
        <w:rPr>
          <w:b/>
          <w:bCs/>
        </w:rPr>
      </w:pPr>
    </w:p>
    <w:p w:rsidR="00C9334E" w:rsidRPr="00FC2145" w:rsidRDefault="00C9334E" w:rsidP="00C9334E">
      <w:pPr>
        <w:jc w:val="both"/>
        <w:rPr>
          <w:b/>
          <w:bCs/>
        </w:rPr>
      </w:pPr>
      <w:r w:rsidRPr="00FC2145">
        <w:rPr>
          <w:b/>
          <w:bCs/>
        </w:rPr>
        <w:t>Health:</w:t>
      </w:r>
    </w:p>
    <w:p w:rsidR="00E26649" w:rsidRPr="00FC2145" w:rsidRDefault="00B5698C" w:rsidP="00296D88">
      <w:pPr>
        <w:numPr>
          <w:ilvl w:val="0"/>
          <w:numId w:val="1"/>
        </w:numPr>
        <w:ind w:left="714" w:hanging="350"/>
        <w:jc w:val="both"/>
        <w:rPr>
          <w:noProof/>
        </w:rPr>
      </w:pPr>
      <w:r w:rsidRPr="00FC2145">
        <w:rPr>
          <w:noProof/>
        </w:rPr>
        <w:t>The</w:t>
      </w:r>
      <w:r w:rsidR="00FD62A0" w:rsidRPr="00FC2145">
        <w:rPr>
          <w:noProof/>
        </w:rPr>
        <w:t xml:space="preserve">re were </w:t>
      </w:r>
      <w:r w:rsidR="00C377A5" w:rsidRPr="00FC2145">
        <w:rPr>
          <w:noProof/>
        </w:rPr>
        <w:t>27</w:t>
      </w:r>
      <w:r w:rsidRPr="00FC2145">
        <w:rPr>
          <w:noProof/>
        </w:rPr>
        <w:t xml:space="preserve"> </w:t>
      </w:r>
      <w:r w:rsidR="00553F6F" w:rsidRPr="00FC2145">
        <w:rPr>
          <w:noProof/>
        </w:rPr>
        <w:t>p</w:t>
      </w:r>
      <w:r w:rsidRPr="00FC2145">
        <w:rPr>
          <w:noProof/>
        </w:rPr>
        <w:t xml:space="preserve">rimary </w:t>
      </w:r>
      <w:r w:rsidR="00553F6F" w:rsidRPr="00FC2145">
        <w:rPr>
          <w:noProof/>
        </w:rPr>
        <w:t>h</w:t>
      </w:r>
      <w:r w:rsidRPr="00FC2145">
        <w:rPr>
          <w:noProof/>
        </w:rPr>
        <w:t>ealth</w:t>
      </w:r>
      <w:r w:rsidR="00553F6F" w:rsidRPr="00FC2145">
        <w:rPr>
          <w:noProof/>
        </w:rPr>
        <w:t>c</w:t>
      </w:r>
      <w:r w:rsidRPr="00FC2145">
        <w:rPr>
          <w:noProof/>
        </w:rPr>
        <w:t xml:space="preserve">are </w:t>
      </w:r>
      <w:r w:rsidR="00553F6F" w:rsidRPr="00FC2145">
        <w:rPr>
          <w:noProof/>
        </w:rPr>
        <w:t xml:space="preserve">centers </w:t>
      </w:r>
      <w:r w:rsidRPr="00FC2145">
        <w:rPr>
          <w:noProof/>
        </w:rPr>
        <w:t>in</w:t>
      </w:r>
      <w:r w:rsidR="00C377A5" w:rsidRPr="00FC2145">
        <w:rPr>
          <w:noProof/>
        </w:rPr>
        <w:t xml:space="preserve"> Lebanon,</w:t>
      </w:r>
      <w:r w:rsidRPr="00FC2145">
        <w:rPr>
          <w:noProof/>
        </w:rPr>
        <w:t xml:space="preserve"> </w:t>
      </w:r>
      <w:r w:rsidR="00FD62A0" w:rsidRPr="00FC2145">
        <w:rPr>
          <w:noProof/>
        </w:rPr>
        <w:t>2</w:t>
      </w:r>
      <w:r w:rsidR="00296D88" w:rsidRPr="00FC2145">
        <w:rPr>
          <w:noProof/>
        </w:rPr>
        <w:t>3</w:t>
      </w:r>
      <w:r w:rsidRPr="00FC2145">
        <w:rPr>
          <w:noProof/>
        </w:rPr>
        <w:t xml:space="preserve"> </w:t>
      </w:r>
      <w:r w:rsidR="00FD62A0" w:rsidRPr="00FC2145">
        <w:rPr>
          <w:noProof/>
        </w:rPr>
        <w:t xml:space="preserve">in </w:t>
      </w:r>
      <w:r w:rsidRPr="00FC2145">
        <w:rPr>
          <w:noProof/>
        </w:rPr>
        <w:t xml:space="preserve">Syria, </w:t>
      </w:r>
      <w:r w:rsidR="00553F6F" w:rsidRPr="00FC2145">
        <w:rPr>
          <w:noProof/>
        </w:rPr>
        <w:t>and</w:t>
      </w:r>
      <w:r w:rsidR="00FD62A0" w:rsidRPr="00FC2145">
        <w:rPr>
          <w:noProof/>
        </w:rPr>
        <w:t xml:space="preserve"> </w:t>
      </w:r>
      <w:r w:rsidR="00C377A5" w:rsidRPr="00FC2145">
        <w:rPr>
          <w:noProof/>
        </w:rPr>
        <w:t>2</w:t>
      </w:r>
      <w:r w:rsidR="001B4B14" w:rsidRPr="00FC2145">
        <w:rPr>
          <w:noProof/>
        </w:rPr>
        <w:t>5</w:t>
      </w:r>
      <w:r w:rsidR="00FD62A0" w:rsidRPr="00FC2145">
        <w:rPr>
          <w:noProof/>
        </w:rPr>
        <w:t xml:space="preserve"> in</w:t>
      </w:r>
      <w:r w:rsidR="00553F6F" w:rsidRPr="00FC2145">
        <w:rPr>
          <w:noProof/>
        </w:rPr>
        <w:t xml:space="preserve"> </w:t>
      </w:r>
      <w:r w:rsidR="00A54B80" w:rsidRPr="00FC2145">
        <w:rPr>
          <w:noProof/>
        </w:rPr>
        <w:t>Jordan</w:t>
      </w:r>
      <w:r w:rsidR="00A15515" w:rsidRPr="00FC2145">
        <w:rPr>
          <w:noProof/>
        </w:rPr>
        <w:t xml:space="preserve"> and 65 in palestine</w:t>
      </w:r>
      <w:r w:rsidRPr="00FC2145">
        <w:rPr>
          <w:noProof/>
        </w:rPr>
        <w:t xml:space="preserve"> </w:t>
      </w:r>
      <w:r w:rsidR="000F485D" w:rsidRPr="00FC2145">
        <w:rPr>
          <w:noProof/>
        </w:rPr>
        <w:t xml:space="preserve">at the end of </w:t>
      </w:r>
      <w:r w:rsidR="00296D88" w:rsidRPr="00FC2145">
        <w:rPr>
          <w:noProof/>
        </w:rPr>
        <w:t>2020</w:t>
      </w:r>
      <w:r w:rsidRPr="00FC2145">
        <w:rPr>
          <w:noProof/>
        </w:rPr>
        <w:t>.</w:t>
      </w:r>
    </w:p>
    <w:p w:rsidR="00C9334E" w:rsidRPr="00FC2145" w:rsidRDefault="00C9334E" w:rsidP="00C9334E">
      <w:pPr>
        <w:jc w:val="both"/>
        <w:rPr>
          <w:b/>
          <w:bCs/>
        </w:rPr>
      </w:pPr>
    </w:p>
    <w:p w:rsidR="00B5698C" w:rsidRPr="00FC2145" w:rsidRDefault="00C9334E" w:rsidP="00C9334E">
      <w:pPr>
        <w:jc w:val="both"/>
        <w:rPr>
          <w:b/>
          <w:bCs/>
        </w:rPr>
      </w:pPr>
      <w:r w:rsidRPr="00FC2145">
        <w:rPr>
          <w:b/>
          <w:bCs/>
        </w:rPr>
        <w:t>Education:</w:t>
      </w:r>
      <w:r w:rsidR="00B5698C" w:rsidRPr="00FC2145">
        <w:rPr>
          <w:b/>
          <w:bCs/>
        </w:rPr>
        <w:t xml:space="preserve"> </w:t>
      </w:r>
    </w:p>
    <w:p w:rsidR="00E26649" w:rsidRPr="00FC2145" w:rsidRDefault="00E26649" w:rsidP="00296D88">
      <w:pPr>
        <w:numPr>
          <w:ilvl w:val="0"/>
          <w:numId w:val="1"/>
        </w:numPr>
        <w:ind w:left="714" w:hanging="350"/>
        <w:jc w:val="both"/>
        <w:rPr>
          <w:noProof/>
        </w:rPr>
      </w:pPr>
      <w:r w:rsidRPr="00FC2145">
        <w:rPr>
          <w:noProof/>
        </w:rPr>
        <w:t xml:space="preserve">The total number of UNRWA schools was </w:t>
      </w:r>
      <w:r w:rsidR="00E22B42" w:rsidRPr="00FC2145">
        <w:rPr>
          <w:noProof/>
        </w:rPr>
        <w:t>1</w:t>
      </w:r>
      <w:r w:rsidR="00426EE0" w:rsidRPr="00FC2145">
        <w:rPr>
          <w:rFonts w:hint="cs"/>
          <w:noProof/>
          <w:rtl/>
        </w:rPr>
        <w:t>69</w:t>
      </w:r>
      <w:r w:rsidRPr="00FC2145">
        <w:rPr>
          <w:noProof/>
        </w:rPr>
        <w:t xml:space="preserve"> schools in Jordan, </w:t>
      </w:r>
      <w:r w:rsidR="00E22B42" w:rsidRPr="00FC2145">
        <w:rPr>
          <w:noProof/>
        </w:rPr>
        <w:t>1</w:t>
      </w:r>
      <w:r w:rsidR="00426EE0" w:rsidRPr="00FC2145">
        <w:rPr>
          <w:rFonts w:hint="cs"/>
          <w:noProof/>
          <w:rtl/>
        </w:rPr>
        <w:t>0</w:t>
      </w:r>
      <w:r w:rsidR="00296D88" w:rsidRPr="00FC2145">
        <w:rPr>
          <w:noProof/>
        </w:rPr>
        <w:t>2</w:t>
      </w:r>
      <w:r w:rsidRPr="00FC2145">
        <w:rPr>
          <w:noProof/>
        </w:rPr>
        <w:t xml:space="preserve"> schools in Syria and </w:t>
      </w:r>
      <w:r w:rsidR="000B6F29" w:rsidRPr="00FC2145">
        <w:rPr>
          <w:noProof/>
        </w:rPr>
        <w:t>6</w:t>
      </w:r>
      <w:r w:rsidR="002D738B" w:rsidRPr="00FC2145">
        <w:rPr>
          <w:noProof/>
        </w:rPr>
        <w:t>5</w:t>
      </w:r>
      <w:r w:rsidRPr="00FC2145">
        <w:rPr>
          <w:noProof/>
        </w:rPr>
        <w:t xml:space="preserve"> schools in Lebanon in </w:t>
      </w:r>
      <w:r w:rsidR="00296D88" w:rsidRPr="00FC2145">
        <w:rPr>
          <w:noProof/>
        </w:rPr>
        <w:t>2018</w:t>
      </w:r>
      <w:r w:rsidRPr="00FC2145">
        <w:rPr>
          <w:noProof/>
        </w:rPr>
        <w:t>/</w:t>
      </w:r>
      <w:r w:rsidR="00296D88" w:rsidRPr="00FC2145">
        <w:rPr>
          <w:noProof/>
        </w:rPr>
        <w:t>2019</w:t>
      </w:r>
      <w:r w:rsidRPr="00FC2145">
        <w:rPr>
          <w:noProof/>
        </w:rPr>
        <w:t>.</w:t>
      </w:r>
    </w:p>
    <w:p w:rsidR="00BB6D0F" w:rsidRPr="00FC2145" w:rsidRDefault="00BB6D0F" w:rsidP="004E7170">
      <w:pPr>
        <w:jc w:val="lowKashida"/>
        <w:rPr>
          <w:sz w:val="10"/>
          <w:szCs w:val="10"/>
        </w:rPr>
      </w:pPr>
    </w:p>
    <w:p w:rsidR="00B5698C" w:rsidRPr="00FC2145" w:rsidRDefault="00B5698C" w:rsidP="00296D88">
      <w:pPr>
        <w:numPr>
          <w:ilvl w:val="0"/>
          <w:numId w:val="1"/>
        </w:numPr>
        <w:ind w:left="714" w:hanging="350"/>
        <w:jc w:val="both"/>
        <w:rPr>
          <w:noProof/>
        </w:rPr>
      </w:pPr>
      <w:r w:rsidRPr="00FC2145">
        <w:rPr>
          <w:noProof/>
        </w:rPr>
        <w:t xml:space="preserve">The total number of refugee students in UNRWA </w:t>
      </w:r>
      <w:r w:rsidR="00553F6F" w:rsidRPr="00FC2145">
        <w:rPr>
          <w:noProof/>
        </w:rPr>
        <w:t>s</w:t>
      </w:r>
      <w:r w:rsidRPr="00FC2145">
        <w:rPr>
          <w:noProof/>
        </w:rPr>
        <w:t xml:space="preserve">chools was </w:t>
      </w:r>
      <w:r w:rsidR="00296D88" w:rsidRPr="00FC2145">
        <w:rPr>
          <w:noProof/>
        </w:rPr>
        <w:t>119,047</w:t>
      </w:r>
      <w:r w:rsidRPr="00FC2145">
        <w:rPr>
          <w:noProof/>
        </w:rPr>
        <w:t xml:space="preserve"> in Jordan, </w:t>
      </w:r>
      <w:r w:rsidR="00296D88" w:rsidRPr="00FC2145">
        <w:rPr>
          <w:noProof/>
        </w:rPr>
        <w:t>37,586</w:t>
      </w:r>
      <w:r w:rsidRPr="00FC2145">
        <w:rPr>
          <w:noProof/>
        </w:rPr>
        <w:t xml:space="preserve"> in Lebanon and </w:t>
      </w:r>
      <w:r w:rsidR="00296D88" w:rsidRPr="00FC2145">
        <w:rPr>
          <w:noProof/>
        </w:rPr>
        <w:t xml:space="preserve">50,609 </w:t>
      </w:r>
      <w:r w:rsidRPr="00FC2145">
        <w:rPr>
          <w:noProof/>
        </w:rPr>
        <w:t xml:space="preserve">in Syria in </w:t>
      </w:r>
      <w:r w:rsidR="00296D88" w:rsidRPr="00FC2145">
        <w:rPr>
          <w:noProof/>
        </w:rPr>
        <w:t>2018</w:t>
      </w:r>
      <w:r w:rsidR="007C3781" w:rsidRPr="00FC2145">
        <w:rPr>
          <w:noProof/>
        </w:rPr>
        <w:t>/</w:t>
      </w:r>
      <w:r w:rsidR="00296D88" w:rsidRPr="00FC2145">
        <w:rPr>
          <w:noProof/>
        </w:rPr>
        <w:t>2019</w:t>
      </w:r>
      <w:r w:rsidRPr="00FC2145">
        <w:rPr>
          <w:noProof/>
        </w:rPr>
        <w:t xml:space="preserve">. </w:t>
      </w:r>
    </w:p>
    <w:p w:rsidR="00BB6D0F" w:rsidRPr="00FC2145" w:rsidRDefault="00BB6D0F" w:rsidP="00296D88">
      <w:pPr>
        <w:ind w:left="714"/>
        <w:jc w:val="both"/>
        <w:rPr>
          <w:noProof/>
        </w:rPr>
      </w:pPr>
    </w:p>
    <w:p w:rsidR="00B5698C" w:rsidRPr="00FC2145" w:rsidRDefault="00B5698C" w:rsidP="00296D88">
      <w:pPr>
        <w:numPr>
          <w:ilvl w:val="0"/>
          <w:numId w:val="1"/>
        </w:numPr>
        <w:ind w:left="714" w:hanging="350"/>
        <w:jc w:val="both"/>
        <w:rPr>
          <w:noProof/>
        </w:rPr>
      </w:pPr>
      <w:r w:rsidRPr="00FC2145">
        <w:rPr>
          <w:noProof/>
        </w:rPr>
        <w:t xml:space="preserve">The total number of teaching </w:t>
      </w:r>
      <w:r w:rsidR="00F07E78" w:rsidRPr="00FC2145">
        <w:rPr>
          <w:noProof/>
        </w:rPr>
        <w:t>s</w:t>
      </w:r>
      <w:r w:rsidRPr="00FC2145">
        <w:rPr>
          <w:noProof/>
        </w:rPr>
        <w:t xml:space="preserve">taff in UNRWA schools was </w:t>
      </w:r>
      <w:r w:rsidR="002D738B" w:rsidRPr="00FC2145">
        <w:rPr>
          <w:noProof/>
        </w:rPr>
        <w:t>4,64</w:t>
      </w:r>
      <w:r w:rsidR="00296D88" w:rsidRPr="00FC2145">
        <w:rPr>
          <w:noProof/>
        </w:rPr>
        <w:t>3</w:t>
      </w:r>
      <w:r w:rsidRPr="00FC2145">
        <w:rPr>
          <w:noProof/>
        </w:rPr>
        <w:t xml:space="preserve"> in Jordan, </w:t>
      </w:r>
      <w:r w:rsidR="00296D88" w:rsidRPr="00FC2145">
        <w:rPr>
          <w:noProof/>
        </w:rPr>
        <w:t>1,976</w:t>
      </w:r>
      <w:r w:rsidR="008072A6" w:rsidRPr="00FC2145">
        <w:rPr>
          <w:noProof/>
        </w:rPr>
        <w:t xml:space="preserve"> </w:t>
      </w:r>
      <w:r w:rsidRPr="00FC2145">
        <w:rPr>
          <w:noProof/>
        </w:rPr>
        <w:t xml:space="preserve">in Syria and </w:t>
      </w:r>
      <w:r w:rsidR="00296D88" w:rsidRPr="00FC2145">
        <w:rPr>
          <w:noProof/>
        </w:rPr>
        <w:t xml:space="preserve">1,655 </w:t>
      </w:r>
      <w:r w:rsidRPr="00FC2145">
        <w:rPr>
          <w:noProof/>
        </w:rPr>
        <w:t xml:space="preserve">in Lebanon in </w:t>
      </w:r>
      <w:r w:rsidR="00296D88" w:rsidRPr="00FC2145">
        <w:rPr>
          <w:noProof/>
        </w:rPr>
        <w:t>2018</w:t>
      </w:r>
      <w:r w:rsidR="00507D5D" w:rsidRPr="00FC2145">
        <w:rPr>
          <w:noProof/>
        </w:rPr>
        <w:t>/</w:t>
      </w:r>
      <w:r w:rsidR="00296D88" w:rsidRPr="00FC2145">
        <w:rPr>
          <w:noProof/>
        </w:rPr>
        <w:t>2019</w:t>
      </w:r>
      <w:r w:rsidRPr="00FC2145">
        <w:rPr>
          <w:noProof/>
        </w:rPr>
        <w:t xml:space="preserve">. </w:t>
      </w:r>
    </w:p>
    <w:p w:rsidR="005C4CFE" w:rsidRPr="00FC2145" w:rsidRDefault="005C4CFE" w:rsidP="005C4CFE">
      <w:pPr>
        <w:pStyle w:val="ListParagraph"/>
      </w:pPr>
    </w:p>
    <w:p w:rsidR="005C4CFE" w:rsidRPr="00FC2145" w:rsidRDefault="005C4CFE" w:rsidP="00116703">
      <w:pPr>
        <w:numPr>
          <w:ilvl w:val="0"/>
          <w:numId w:val="1"/>
        </w:numPr>
        <w:ind w:left="714" w:hanging="350"/>
        <w:jc w:val="both"/>
        <w:rPr>
          <w:noProof/>
        </w:rPr>
      </w:pPr>
      <w:r w:rsidRPr="00FC2145">
        <w:rPr>
          <w:noProof/>
        </w:rPr>
        <w:t xml:space="preserve">The number of vocational and technical training centers was </w:t>
      </w:r>
      <w:r w:rsidR="00426EE0" w:rsidRPr="00FC2145">
        <w:rPr>
          <w:noProof/>
        </w:rPr>
        <w:t>8</w:t>
      </w:r>
      <w:r w:rsidRPr="00FC2145">
        <w:rPr>
          <w:noProof/>
        </w:rPr>
        <w:t xml:space="preserve"> centers</w:t>
      </w:r>
      <w:r w:rsidR="009F266E" w:rsidRPr="00FC2145">
        <w:rPr>
          <w:noProof/>
        </w:rPr>
        <w:t>:</w:t>
      </w:r>
      <w:r w:rsidR="0017458F" w:rsidRPr="00FC2145">
        <w:rPr>
          <w:noProof/>
        </w:rPr>
        <w:t xml:space="preserve"> </w:t>
      </w:r>
      <w:r w:rsidR="00426EE0" w:rsidRPr="00FC2145">
        <w:rPr>
          <w:noProof/>
        </w:rPr>
        <w:t>2</w:t>
      </w:r>
      <w:r w:rsidRPr="00FC2145">
        <w:rPr>
          <w:noProof/>
        </w:rPr>
        <w:t xml:space="preserve"> centers in Jordan, </w:t>
      </w:r>
      <w:r w:rsidR="00116703">
        <w:rPr>
          <w:noProof/>
        </w:rPr>
        <w:t>2</w:t>
      </w:r>
      <w:r w:rsidRPr="00FC2145">
        <w:rPr>
          <w:noProof/>
        </w:rPr>
        <w:t xml:space="preserve"> in Syria and Lebanon</w:t>
      </w:r>
      <w:r w:rsidR="00116703">
        <w:rPr>
          <w:noProof/>
        </w:rPr>
        <w:t xml:space="preserve"> </w:t>
      </w:r>
      <w:bookmarkStart w:id="3" w:name="_GoBack"/>
      <w:bookmarkEnd w:id="3"/>
      <w:r w:rsidR="00116703">
        <w:rPr>
          <w:noProof/>
        </w:rPr>
        <w:t>( one in each)</w:t>
      </w:r>
      <w:r w:rsidRPr="00FC2145">
        <w:rPr>
          <w:noProof/>
        </w:rPr>
        <w:t xml:space="preserve">, and </w:t>
      </w:r>
      <w:r w:rsidR="00426EE0" w:rsidRPr="00FC2145">
        <w:rPr>
          <w:noProof/>
        </w:rPr>
        <w:t>4</w:t>
      </w:r>
      <w:r w:rsidRPr="00FC2145">
        <w:rPr>
          <w:noProof/>
        </w:rPr>
        <w:t xml:space="preserve"> in Palestine</w:t>
      </w:r>
      <w:r w:rsidR="00EF5593" w:rsidRPr="00FC2145">
        <w:rPr>
          <w:noProof/>
        </w:rPr>
        <w:t xml:space="preserve">; </w:t>
      </w:r>
      <w:r w:rsidR="009F266E" w:rsidRPr="00FC2145">
        <w:rPr>
          <w:noProof/>
        </w:rPr>
        <w:t xml:space="preserve">2 </w:t>
      </w:r>
      <w:r w:rsidR="0017458F" w:rsidRPr="00FC2145">
        <w:rPr>
          <w:noProof/>
        </w:rPr>
        <w:t xml:space="preserve">centers </w:t>
      </w:r>
      <w:r w:rsidR="009F266E" w:rsidRPr="00FC2145">
        <w:rPr>
          <w:noProof/>
        </w:rPr>
        <w:t>of w</w:t>
      </w:r>
      <w:r w:rsidR="005075F0" w:rsidRPr="00FC2145">
        <w:rPr>
          <w:noProof/>
        </w:rPr>
        <w:t>h</w:t>
      </w:r>
      <w:r w:rsidR="009F266E" w:rsidRPr="00FC2145">
        <w:rPr>
          <w:noProof/>
        </w:rPr>
        <w:t>ich are</w:t>
      </w:r>
      <w:r w:rsidRPr="00FC2145">
        <w:rPr>
          <w:noProof/>
        </w:rPr>
        <w:t xml:space="preserve"> </w:t>
      </w:r>
      <w:r w:rsidR="005E355D" w:rsidRPr="00FC2145">
        <w:rPr>
          <w:noProof/>
        </w:rPr>
        <w:t xml:space="preserve">in </w:t>
      </w:r>
      <w:r w:rsidRPr="00FC2145">
        <w:rPr>
          <w:noProof/>
        </w:rPr>
        <w:t xml:space="preserve">the West Bank and </w:t>
      </w:r>
      <w:r w:rsidR="00EF5593" w:rsidRPr="00FC2145">
        <w:rPr>
          <w:noProof/>
        </w:rPr>
        <w:t xml:space="preserve">the </w:t>
      </w:r>
      <w:r w:rsidR="005075F0" w:rsidRPr="00FC2145">
        <w:rPr>
          <w:noProof/>
        </w:rPr>
        <w:t>other</w:t>
      </w:r>
      <w:r w:rsidR="00EF5593" w:rsidRPr="00FC2145">
        <w:rPr>
          <w:noProof/>
        </w:rPr>
        <w:t xml:space="preserve"> </w:t>
      </w:r>
      <w:r w:rsidR="00426EE0" w:rsidRPr="00FC2145">
        <w:rPr>
          <w:noProof/>
        </w:rPr>
        <w:t>2</w:t>
      </w:r>
      <w:r w:rsidRPr="00FC2145">
        <w:rPr>
          <w:noProof/>
        </w:rPr>
        <w:t xml:space="preserve"> </w:t>
      </w:r>
      <w:r w:rsidR="00EF5593" w:rsidRPr="00FC2145">
        <w:rPr>
          <w:noProof/>
        </w:rPr>
        <w:t xml:space="preserve">are </w:t>
      </w:r>
      <w:r w:rsidRPr="00FC2145">
        <w:rPr>
          <w:noProof/>
        </w:rPr>
        <w:t>in Gaza Strip.</w:t>
      </w:r>
    </w:p>
    <w:p w:rsidR="005C4CFE" w:rsidRPr="00FC2145" w:rsidRDefault="005C4CFE" w:rsidP="005C4CFE">
      <w:pPr>
        <w:ind w:left="714"/>
        <w:jc w:val="both"/>
        <w:rPr>
          <w:noProof/>
        </w:rPr>
      </w:pPr>
    </w:p>
    <w:p w:rsidR="005C4CFE" w:rsidRPr="00FC2145" w:rsidRDefault="005C4CFE" w:rsidP="005C4CFE">
      <w:pPr>
        <w:jc w:val="both"/>
        <w:rPr>
          <w:b/>
          <w:bCs/>
        </w:rPr>
      </w:pPr>
      <w:r w:rsidRPr="00FC2145">
        <w:rPr>
          <w:b/>
          <w:bCs/>
        </w:rPr>
        <w:t>Relief and Social Services:</w:t>
      </w:r>
    </w:p>
    <w:p w:rsidR="005C4CFE" w:rsidRPr="00FC2145" w:rsidRDefault="00296D88" w:rsidP="00793249">
      <w:pPr>
        <w:numPr>
          <w:ilvl w:val="0"/>
          <w:numId w:val="1"/>
        </w:numPr>
        <w:jc w:val="both"/>
        <w:rPr>
          <w:noProof/>
        </w:rPr>
      </w:pPr>
      <w:r w:rsidRPr="00FC2145">
        <w:rPr>
          <w:noProof/>
        </w:rPr>
        <w:t>N</w:t>
      </w:r>
      <w:r w:rsidR="00493687" w:rsidRPr="00FC2145">
        <w:rPr>
          <w:noProof/>
        </w:rPr>
        <w:t xml:space="preserve">umber of </w:t>
      </w:r>
      <w:r w:rsidRPr="00FC2145">
        <w:rPr>
          <w:noProof/>
        </w:rPr>
        <w:t>Social Safety Net Program Cases</w:t>
      </w:r>
      <w:r w:rsidR="005C4CFE" w:rsidRPr="00FC2145">
        <w:rPr>
          <w:noProof/>
        </w:rPr>
        <w:t xml:space="preserve"> in Jordan, Lebanon, Syria and Palestine reached </w:t>
      </w:r>
      <w:r w:rsidRPr="00FC2145">
        <w:rPr>
          <w:noProof/>
        </w:rPr>
        <w:t>390,443, with 6.</w:t>
      </w:r>
      <w:r w:rsidR="00DC334F">
        <w:rPr>
          <w:noProof/>
        </w:rPr>
        <w:t>8</w:t>
      </w:r>
      <w:r w:rsidRPr="00FC2145">
        <w:rPr>
          <w:noProof/>
        </w:rPr>
        <w:t xml:space="preserve">% percent </w:t>
      </w:r>
      <w:r w:rsidR="00CF4903" w:rsidRPr="00FC2145">
        <w:rPr>
          <w:noProof/>
        </w:rPr>
        <w:t>out of the number of registered refugees</w:t>
      </w:r>
      <w:r w:rsidR="005C4CFE" w:rsidRPr="00FC2145">
        <w:rPr>
          <w:noProof/>
        </w:rPr>
        <w:t>. The number of</w:t>
      </w:r>
      <w:r w:rsidR="00CF4903" w:rsidRPr="00FC2145">
        <w:rPr>
          <w:noProof/>
        </w:rPr>
        <w:t xml:space="preserve"> Relief and social services staff in Jordan, Lebanon, Syria and Palestine</w:t>
      </w:r>
      <w:r w:rsidR="005C4CFE" w:rsidRPr="00FC2145">
        <w:rPr>
          <w:noProof/>
        </w:rPr>
        <w:t xml:space="preserve"> reached </w:t>
      </w:r>
      <w:r w:rsidR="00CF4903" w:rsidRPr="00FC2145">
        <w:rPr>
          <w:noProof/>
        </w:rPr>
        <w:t xml:space="preserve">807, with </w:t>
      </w:r>
      <w:r w:rsidR="00DC334F">
        <w:rPr>
          <w:noProof/>
        </w:rPr>
        <w:t>57.0</w:t>
      </w:r>
      <w:r w:rsidR="00CF4903" w:rsidRPr="00FC2145">
        <w:rPr>
          <w:noProof/>
        </w:rPr>
        <w:t xml:space="preserve">% females staff, </w:t>
      </w:r>
      <w:r w:rsidR="00793249">
        <w:rPr>
          <w:noProof/>
        </w:rPr>
        <w:t>43.0</w:t>
      </w:r>
      <w:r w:rsidR="00CF4903" w:rsidRPr="00FC2145">
        <w:rPr>
          <w:noProof/>
        </w:rPr>
        <w:t xml:space="preserve">% males staff </w:t>
      </w:r>
      <w:r w:rsidR="000F485D" w:rsidRPr="00FC2145">
        <w:rPr>
          <w:noProof/>
        </w:rPr>
        <w:t xml:space="preserve">at the end of </w:t>
      </w:r>
      <w:r w:rsidR="00CF4903" w:rsidRPr="00FC2145">
        <w:rPr>
          <w:noProof/>
        </w:rPr>
        <w:t>2020</w:t>
      </w:r>
      <w:r w:rsidR="002D738B" w:rsidRPr="00FC2145">
        <w:rPr>
          <w:noProof/>
        </w:rPr>
        <w:t>.</w:t>
      </w:r>
      <w:r w:rsidR="005C4CFE" w:rsidRPr="00FC2145">
        <w:rPr>
          <w:noProof/>
        </w:rPr>
        <w:t xml:space="preserve"> </w:t>
      </w:r>
    </w:p>
    <w:p w:rsidR="004D74D5" w:rsidRPr="00FC2145" w:rsidRDefault="004D74D5" w:rsidP="005C4CFE">
      <w:pPr>
        <w:jc w:val="both"/>
        <w:rPr>
          <w:b/>
          <w:bCs/>
        </w:rPr>
      </w:pPr>
    </w:p>
    <w:p w:rsidR="005910AE" w:rsidRPr="008A424D" w:rsidRDefault="005910AE" w:rsidP="00342648">
      <w:pPr>
        <w:pStyle w:val="ListParagraph"/>
        <w:bidi w:val="0"/>
        <w:ind w:left="0"/>
        <w:jc w:val="lowKashida"/>
        <w:rPr>
          <w:rFonts w:cs="Times New Roman"/>
          <w:b/>
          <w:bCs/>
          <w:i/>
          <w:iCs/>
          <w:sz w:val="18"/>
          <w:szCs w:val="18"/>
          <w:u w:val="single"/>
        </w:rPr>
      </w:pPr>
      <w:r w:rsidRPr="00FC2145">
        <w:rPr>
          <w:rFonts w:cs="Times New Roman"/>
          <w:b/>
          <w:bCs/>
          <w:i/>
          <w:iCs/>
          <w:sz w:val="18"/>
          <w:szCs w:val="18"/>
          <w:u w:val="single"/>
        </w:rPr>
        <w:t>For more detail</w:t>
      </w:r>
      <w:r w:rsidR="00F07E78" w:rsidRPr="00FC2145">
        <w:rPr>
          <w:rFonts w:cs="Times New Roman"/>
          <w:b/>
          <w:bCs/>
          <w:i/>
          <w:iCs/>
          <w:sz w:val="18"/>
          <w:szCs w:val="18"/>
          <w:u w:val="single"/>
        </w:rPr>
        <w:t xml:space="preserve">s on </w:t>
      </w:r>
      <w:r w:rsidRPr="00FC2145">
        <w:rPr>
          <w:rFonts w:cs="Times New Roman"/>
          <w:b/>
          <w:bCs/>
          <w:i/>
          <w:iCs/>
          <w:sz w:val="18"/>
          <w:szCs w:val="18"/>
          <w:u w:val="single"/>
        </w:rPr>
        <w:t>Palestinians in the Diaspora</w:t>
      </w:r>
      <w:r w:rsidR="00F07E78" w:rsidRPr="00FC2145">
        <w:rPr>
          <w:rFonts w:cs="Times New Roman"/>
          <w:b/>
          <w:bCs/>
          <w:i/>
          <w:iCs/>
          <w:sz w:val="18"/>
          <w:szCs w:val="18"/>
          <w:u w:val="single"/>
        </w:rPr>
        <w:t>,</w:t>
      </w:r>
      <w:r w:rsidRPr="00FC2145">
        <w:rPr>
          <w:rFonts w:cs="Times New Roman"/>
          <w:b/>
          <w:bCs/>
          <w:i/>
          <w:iCs/>
          <w:sz w:val="18"/>
          <w:szCs w:val="18"/>
          <w:u w:val="single"/>
        </w:rPr>
        <w:t xml:space="preserve"> </w:t>
      </w:r>
      <w:r w:rsidR="0037009A" w:rsidRPr="00FC2145">
        <w:rPr>
          <w:rFonts w:cs="Times New Roman"/>
          <w:b/>
          <w:bCs/>
          <w:i/>
          <w:iCs/>
          <w:sz w:val="18"/>
          <w:szCs w:val="18"/>
          <w:u w:val="single"/>
        </w:rPr>
        <w:t xml:space="preserve">see </w:t>
      </w:r>
      <w:r w:rsidR="00F07E78" w:rsidRPr="00FC2145">
        <w:rPr>
          <w:rFonts w:cs="Times New Roman"/>
          <w:b/>
          <w:bCs/>
          <w:i/>
          <w:iCs/>
          <w:sz w:val="18"/>
          <w:szCs w:val="18"/>
          <w:u w:val="single"/>
        </w:rPr>
        <w:t xml:space="preserve">the </w:t>
      </w:r>
      <w:r w:rsidR="0037009A" w:rsidRPr="00FC2145">
        <w:rPr>
          <w:rFonts w:cs="Times New Roman"/>
          <w:b/>
          <w:bCs/>
          <w:i/>
          <w:iCs/>
          <w:sz w:val="18"/>
          <w:szCs w:val="18"/>
          <w:u w:val="single"/>
        </w:rPr>
        <w:t xml:space="preserve">tables </w:t>
      </w:r>
      <w:r w:rsidRPr="00FC2145">
        <w:rPr>
          <w:rFonts w:cs="Times New Roman"/>
          <w:b/>
          <w:bCs/>
          <w:i/>
          <w:iCs/>
          <w:sz w:val="18"/>
          <w:szCs w:val="18"/>
          <w:u w:val="single"/>
        </w:rPr>
        <w:t xml:space="preserve">in chapter 3 </w:t>
      </w:r>
      <w:r w:rsidR="00F07E78" w:rsidRPr="00FC2145">
        <w:rPr>
          <w:rFonts w:cs="Times New Roman"/>
          <w:b/>
          <w:bCs/>
          <w:i/>
          <w:iCs/>
          <w:sz w:val="18"/>
          <w:szCs w:val="18"/>
          <w:u w:val="single"/>
        </w:rPr>
        <w:t>of the</w:t>
      </w:r>
      <w:r w:rsidRPr="00FC2145">
        <w:rPr>
          <w:rFonts w:cs="Times New Roman"/>
          <w:b/>
          <w:bCs/>
          <w:i/>
          <w:iCs/>
          <w:sz w:val="18"/>
          <w:szCs w:val="18"/>
          <w:u w:val="single"/>
        </w:rPr>
        <w:t xml:space="preserve"> </w:t>
      </w:r>
      <w:r w:rsidR="00654A09" w:rsidRPr="00FC2145">
        <w:rPr>
          <w:rFonts w:cs="Times New Roman"/>
          <w:b/>
          <w:bCs/>
          <w:i/>
          <w:iCs/>
          <w:sz w:val="18"/>
          <w:szCs w:val="18"/>
          <w:u w:val="single"/>
        </w:rPr>
        <w:t>Arabic</w:t>
      </w:r>
      <w:r w:rsidRPr="00FC2145">
        <w:rPr>
          <w:rFonts w:cs="Times New Roman"/>
          <w:b/>
          <w:bCs/>
          <w:i/>
          <w:iCs/>
          <w:sz w:val="18"/>
          <w:szCs w:val="18"/>
          <w:u w:val="single"/>
        </w:rPr>
        <w:t xml:space="preserve"> </w:t>
      </w:r>
      <w:r w:rsidR="00F07E78" w:rsidRPr="00FC2145">
        <w:rPr>
          <w:rFonts w:cs="Times New Roman"/>
          <w:b/>
          <w:bCs/>
          <w:i/>
          <w:iCs/>
          <w:sz w:val="18"/>
          <w:szCs w:val="18"/>
          <w:u w:val="single"/>
        </w:rPr>
        <w:t xml:space="preserve">section, </w:t>
      </w:r>
      <w:r w:rsidRPr="00FC2145">
        <w:rPr>
          <w:rFonts w:cs="Times New Roman"/>
          <w:b/>
          <w:bCs/>
          <w:i/>
          <w:iCs/>
          <w:sz w:val="18"/>
          <w:szCs w:val="18"/>
          <w:u w:val="single"/>
        </w:rPr>
        <w:t>page</w:t>
      </w:r>
      <w:r w:rsidR="00F07E78" w:rsidRPr="00FC2145">
        <w:rPr>
          <w:rFonts w:cs="Times New Roman"/>
          <w:b/>
          <w:bCs/>
          <w:i/>
          <w:iCs/>
          <w:sz w:val="18"/>
          <w:szCs w:val="18"/>
          <w:u w:val="single"/>
        </w:rPr>
        <w:t>s</w:t>
      </w:r>
      <w:r w:rsidRPr="00FC2145">
        <w:rPr>
          <w:rFonts w:cs="Times New Roman"/>
          <w:b/>
          <w:bCs/>
          <w:i/>
          <w:iCs/>
          <w:sz w:val="18"/>
          <w:szCs w:val="18"/>
          <w:u w:val="single"/>
          <w:rtl/>
        </w:rPr>
        <w:t xml:space="preserve"> </w:t>
      </w:r>
      <w:r w:rsidR="00342648">
        <w:rPr>
          <w:rFonts w:cs="Times New Roman"/>
          <w:b/>
          <w:bCs/>
          <w:i/>
          <w:iCs/>
          <w:sz w:val="18"/>
          <w:szCs w:val="18"/>
          <w:u w:val="single"/>
        </w:rPr>
        <w:t>211</w:t>
      </w:r>
      <w:r w:rsidRPr="00FC2145">
        <w:rPr>
          <w:rFonts w:cs="Times New Roman"/>
          <w:b/>
          <w:bCs/>
          <w:i/>
          <w:iCs/>
          <w:sz w:val="18"/>
          <w:szCs w:val="18"/>
          <w:u w:val="single"/>
        </w:rPr>
        <w:t>-</w:t>
      </w:r>
      <w:r w:rsidR="00342648">
        <w:rPr>
          <w:rFonts w:cs="Times New Roman"/>
          <w:b/>
          <w:bCs/>
          <w:i/>
          <w:iCs/>
          <w:sz w:val="18"/>
          <w:szCs w:val="18"/>
          <w:u w:val="single"/>
        </w:rPr>
        <w:t>218</w:t>
      </w:r>
      <w:r w:rsidR="00F07E78" w:rsidRPr="00FC2145">
        <w:rPr>
          <w:rFonts w:cs="Times New Roman"/>
          <w:b/>
          <w:bCs/>
          <w:i/>
          <w:iCs/>
          <w:sz w:val="18"/>
          <w:szCs w:val="18"/>
          <w:u w:val="single"/>
        </w:rPr>
        <w:t>.</w:t>
      </w:r>
    </w:p>
    <w:p w:rsidR="006263A0" w:rsidRPr="008A424D" w:rsidRDefault="006263A0" w:rsidP="006263A0">
      <w:pPr>
        <w:pStyle w:val="ListParagraph"/>
        <w:bidi w:val="0"/>
        <w:ind w:left="0"/>
        <w:jc w:val="lowKashida"/>
        <w:rPr>
          <w:rFonts w:cs="Times New Roman"/>
          <w:b/>
          <w:bCs/>
          <w:i/>
          <w:iCs/>
          <w:sz w:val="18"/>
          <w:szCs w:val="18"/>
          <w:u w:val="single"/>
        </w:rPr>
      </w:pPr>
    </w:p>
    <w:p w:rsidR="006263A0" w:rsidRPr="008A424D" w:rsidRDefault="006263A0" w:rsidP="006263A0">
      <w:pPr>
        <w:pStyle w:val="ListParagraph"/>
        <w:bidi w:val="0"/>
        <w:ind w:left="0"/>
        <w:jc w:val="lowKashida"/>
        <w:rPr>
          <w:rFonts w:cs="Times New Roman"/>
          <w:b/>
          <w:bCs/>
          <w:i/>
          <w:iCs/>
          <w:sz w:val="18"/>
          <w:szCs w:val="18"/>
          <w:u w:val="single"/>
        </w:rPr>
      </w:pPr>
    </w:p>
    <w:p w:rsidR="002173CB" w:rsidRPr="008A424D" w:rsidRDefault="002173CB" w:rsidP="002173CB">
      <w:pPr>
        <w:pStyle w:val="ListParagraph"/>
        <w:bidi w:val="0"/>
        <w:ind w:left="0"/>
        <w:jc w:val="lowKashida"/>
        <w:rPr>
          <w:rFonts w:cs="Times New Roman"/>
          <w:i/>
          <w:iCs/>
          <w:sz w:val="20"/>
          <w:u w:val="single"/>
        </w:rPr>
      </w:pPr>
    </w:p>
    <w:sectPr w:rsidR="002173CB" w:rsidRPr="008A424D" w:rsidSect="00793CB8">
      <w:headerReference w:type="default" r:id="rId19"/>
      <w:footerReference w:type="even" r:id="rId20"/>
      <w:footerReference w:type="default" r:id="rId21"/>
      <w:endnotePr>
        <w:numFmt w:val="lowerLetter"/>
      </w:endnotePr>
      <w:pgSz w:w="9639" w:h="13608" w:code="9"/>
      <w:pgMar w:top="1134" w:right="1134" w:bottom="1134" w:left="1134" w:header="680" w:footer="680" w:gutter="0"/>
      <w:pgNumType w:start="15"/>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24E3" w:rsidRDefault="003424E3">
      <w:r>
        <w:separator/>
      </w:r>
    </w:p>
  </w:endnote>
  <w:endnote w:type="continuationSeparator" w:id="0">
    <w:p w:rsidR="003424E3" w:rsidRDefault="003424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32A6" w:rsidRDefault="0062150F">
    <w:pPr>
      <w:pStyle w:val="Footer"/>
      <w:framePr w:wrap="around" w:vAnchor="text" w:hAnchor="margin" w:xAlign="center" w:y="1"/>
      <w:rPr>
        <w:rStyle w:val="PageNumber"/>
      </w:rPr>
    </w:pPr>
    <w:r>
      <w:rPr>
        <w:rStyle w:val="PageNumber"/>
      </w:rPr>
      <w:fldChar w:fldCharType="begin"/>
    </w:r>
    <w:r w:rsidR="008832A6">
      <w:rPr>
        <w:rStyle w:val="PageNumber"/>
      </w:rPr>
      <w:instrText xml:space="preserve">PAGE  </w:instrText>
    </w:r>
    <w:r>
      <w:rPr>
        <w:rStyle w:val="PageNumber"/>
      </w:rPr>
      <w:fldChar w:fldCharType="end"/>
    </w:r>
  </w:p>
  <w:p w:rsidR="008832A6" w:rsidRDefault="008832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32A6" w:rsidRDefault="008832A6">
    <w:pPr>
      <w:pStyle w:val="Footer"/>
      <w:framePr w:w="522" w:wrap="around" w:vAnchor="text" w:hAnchor="margin" w:xAlign="center" w:y="12"/>
      <w:rPr>
        <w:rStyle w:val="PageNumber"/>
      </w:rPr>
    </w:pPr>
    <w:r>
      <w:rPr>
        <w:rStyle w:val="PageNumber"/>
      </w:rPr>
      <w:t>[</w:t>
    </w:r>
    <w:r w:rsidR="0062150F">
      <w:rPr>
        <w:rStyle w:val="PageNumber"/>
        <w:rFonts w:ascii="Arial" w:hAnsi="Arial" w:cs="Arial"/>
        <w:sz w:val="18"/>
        <w:szCs w:val="18"/>
      </w:rPr>
      <w:fldChar w:fldCharType="begin"/>
    </w:r>
    <w:r>
      <w:rPr>
        <w:rStyle w:val="PageNumber"/>
        <w:rFonts w:ascii="Arial" w:hAnsi="Arial" w:cs="Arial"/>
        <w:sz w:val="18"/>
        <w:szCs w:val="18"/>
      </w:rPr>
      <w:instrText xml:space="preserve">PAGE  </w:instrText>
    </w:r>
    <w:r w:rsidR="0062150F">
      <w:rPr>
        <w:rStyle w:val="PageNumber"/>
        <w:rFonts w:ascii="Arial" w:hAnsi="Arial" w:cs="Arial"/>
        <w:sz w:val="18"/>
        <w:szCs w:val="18"/>
      </w:rPr>
      <w:fldChar w:fldCharType="separate"/>
    </w:r>
    <w:r w:rsidR="00116703">
      <w:rPr>
        <w:rStyle w:val="PageNumber"/>
        <w:rFonts w:ascii="Arial" w:hAnsi="Arial" w:cs="Arial"/>
        <w:noProof/>
        <w:sz w:val="18"/>
        <w:szCs w:val="18"/>
      </w:rPr>
      <w:t>33</w:t>
    </w:r>
    <w:r w:rsidR="0062150F">
      <w:rPr>
        <w:rStyle w:val="PageNumber"/>
        <w:rFonts w:ascii="Arial" w:hAnsi="Arial" w:cs="Arial"/>
        <w:sz w:val="18"/>
        <w:szCs w:val="18"/>
      </w:rPr>
      <w:fldChar w:fldCharType="end"/>
    </w:r>
    <w:r>
      <w:rPr>
        <w:rStyle w:val="PageNumber"/>
      </w:rPr>
      <w:t>]</w:t>
    </w:r>
  </w:p>
  <w:p w:rsidR="008832A6" w:rsidRDefault="008832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24E3" w:rsidRDefault="003424E3">
      <w:r>
        <w:separator/>
      </w:r>
    </w:p>
  </w:footnote>
  <w:footnote w:type="continuationSeparator" w:id="0">
    <w:p w:rsidR="003424E3" w:rsidRDefault="003424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32A6" w:rsidRPr="00940590" w:rsidRDefault="008832A6" w:rsidP="00FA472E">
    <w:pPr>
      <w:pStyle w:val="Footer"/>
      <w:rPr>
        <w:sz w:val="16"/>
        <w:szCs w:val="16"/>
      </w:rPr>
    </w:pPr>
    <w:r>
      <w:rPr>
        <w:sz w:val="16"/>
      </w:rPr>
      <w:t xml:space="preserve">PCBS: Statistical Yearbook </w:t>
    </w:r>
    <w:r w:rsidR="00BB40F1">
      <w:rPr>
        <w:sz w:val="16"/>
      </w:rPr>
      <w:t>of Palestine</w:t>
    </w:r>
    <w:r>
      <w:rPr>
        <w:sz w:val="16"/>
      </w:rPr>
      <w:t xml:space="preserve"> </w:t>
    </w:r>
    <w:r w:rsidR="00FA472E">
      <w:rPr>
        <w:sz w:val="16"/>
      </w:rPr>
      <w:t>2021</w:t>
    </w:r>
    <w:r w:rsidR="00BB40F1">
      <w:rPr>
        <w:sz w:val="16"/>
      </w:rPr>
      <w:t xml:space="preserve">                                                                                               </w:t>
    </w:r>
    <w:r>
      <w:rPr>
        <w:sz w:val="16"/>
        <w:szCs w:val="16"/>
      </w:rPr>
      <w:t>Summary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A2CD0"/>
    <w:multiLevelType w:val="hybridMultilevel"/>
    <w:tmpl w:val="C12436A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 w15:restartNumberingAfterBreak="0">
    <w:nsid w:val="01485A9E"/>
    <w:multiLevelType w:val="hybridMultilevel"/>
    <w:tmpl w:val="73F4E4C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15:restartNumberingAfterBreak="0">
    <w:nsid w:val="02150D35"/>
    <w:multiLevelType w:val="hybridMultilevel"/>
    <w:tmpl w:val="D7A8C99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3" w15:restartNumberingAfterBreak="0">
    <w:nsid w:val="07586CEE"/>
    <w:multiLevelType w:val="hybridMultilevel"/>
    <w:tmpl w:val="5328A6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15:restartNumberingAfterBreak="0">
    <w:nsid w:val="07847960"/>
    <w:multiLevelType w:val="hybridMultilevel"/>
    <w:tmpl w:val="3C3E636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12131EDA"/>
    <w:multiLevelType w:val="hybridMultilevel"/>
    <w:tmpl w:val="8438E85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15:restartNumberingAfterBreak="0">
    <w:nsid w:val="132B1A22"/>
    <w:multiLevelType w:val="hybridMultilevel"/>
    <w:tmpl w:val="A67A4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9A27E5"/>
    <w:multiLevelType w:val="hybridMultilevel"/>
    <w:tmpl w:val="79FAD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446CD6"/>
    <w:multiLevelType w:val="hybridMultilevel"/>
    <w:tmpl w:val="338C0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2C3F31"/>
    <w:multiLevelType w:val="hybridMultilevel"/>
    <w:tmpl w:val="D584DDA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1E932F90"/>
    <w:multiLevelType w:val="hybridMultilevel"/>
    <w:tmpl w:val="BF161F64"/>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1FE4277F"/>
    <w:multiLevelType w:val="hybridMultilevel"/>
    <w:tmpl w:val="CF765A1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2" w15:restartNumberingAfterBreak="0">
    <w:nsid w:val="217C5C3E"/>
    <w:multiLevelType w:val="hybridMultilevel"/>
    <w:tmpl w:val="E9FE49D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254A4564"/>
    <w:multiLevelType w:val="hybridMultilevel"/>
    <w:tmpl w:val="9DF4428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69C7624"/>
    <w:multiLevelType w:val="hybridMultilevel"/>
    <w:tmpl w:val="0BA4FB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2DD8703C"/>
    <w:multiLevelType w:val="hybridMultilevel"/>
    <w:tmpl w:val="6BBC88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31CD45AD"/>
    <w:multiLevelType w:val="hybridMultilevel"/>
    <w:tmpl w:val="6AE43A28"/>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18" w15:restartNumberingAfterBreak="0">
    <w:nsid w:val="3D4B1CDF"/>
    <w:multiLevelType w:val="hybridMultilevel"/>
    <w:tmpl w:val="47DAC31C"/>
    <w:lvl w:ilvl="0" w:tplc="04010001">
      <w:start w:val="1"/>
      <w:numFmt w:val="bullet"/>
      <w:lvlText w:val=""/>
      <w:lvlJc w:val="left"/>
      <w:pPr>
        <w:tabs>
          <w:tab w:val="num" w:pos="360"/>
        </w:tabs>
        <w:ind w:left="360"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EB225C"/>
    <w:multiLevelType w:val="hybridMultilevel"/>
    <w:tmpl w:val="D3AAD7F8"/>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20" w15:restartNumberingAfterBreak="0">
    <w:nsid w:val="444B413F"/>
    <w:multiLevelType w:val="hybridMultilevel"/>
    <w:tmpl w:val="BD7A96B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468F1354"/>
    <w:multiLevelType w:val="hybridMultilevel"/>
    <w:tmpl w:val="7F6276C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4C6330BD"/>
    <w:multiLevelType w:val="hybridMultilevel"/>
    <w:tmpl w:val="240E9594"/>
    <w:lvl w:ilvl="0" w:tplc="0409000F">
      <w:start w:val="1"/>
      <w:numFmt w:val="decimal"/>
      <w:lvlText w:val="%1."/>
      <w:lvlJc w:val="left"/>
      <w:pPr>
        <w:ind w:left="972" w:hanging="360"/>
      </w:pPr>
    </w:lvl>
    <w:lvl w:ilvl="1" w:tplc="04090019" w:tentative="1">
      <w:start w:val="1"/>
      <w:numFmt w:val="lowerLetter"/>
      <w:lvlText w:val="%2."/>
      <w:lvlJc w:val="left"/>
      <w:pPr>
        <w:ind w:left="1692" w:hanging="360"/>
      </w:pPr>
    </w:lvl>
    <w:lvl w:ilvl="2" w:tplc="0409001B" w:tentative="1">
      <w:start w:val="1"/>
      <w:numFmt w:val="lowerRoman"/>
      <w:lvlText w:val="%3."/>
      <w:lvlJc w:val="right"/>
      <w:pPr>
        <w:ind w:left="2412" w:hanging="180"/>
      </w:pPr>
    </w:lvl>
    <w:lvl w:ilvl="3" w:tplc="0409000F" w:tentative="1">
      <w:start w:val="1"/>
      <w:numFmt w:val="decimal"/>
      <w:lvlText w:val="%4."/>
      <w:lvlJc w:val="left"/>
      <w:pPr>
        <w:ind w:left="3132" w:hanging="360"/>
      </w:pPr>
    </w:lvl>
    <w:lvl w:ilvl="4" w:tplc="04090019" w:tentative="1">
      <w:start w:val="1"/>
      <w:numFmt w:val="lowerLetter"/>
      <w:lvlText w:val="%5."/>
      <w:lvlJc w:val="left"/>
      <w:pPr>
        <w:ind w:left="3852" w:hanging="360"/>
      </w:pPr>
    </w:lvl>
    <w:lvl w:ilvl="5" w:tplc="0409001B" w:tentative="1">
      <w:start w:val="1"/>
      <w:numFmt w:val="lowerRoman"/>
      <w:lvlText w:val="%6."/>
      <w:lvlJc w:val="right"/>
      <w:pPr>
        <w:ind w:left="4572" w:hanging="180"/>
      </w:pPr>
    </w:lvl>
    <w:lvl w:ilvl="6" w:tplc="0409000F" w:tentative="1">
      <w:start w:val="1"/>
      <w:numFmt w:val="decimal"/>
      <w:lvlText w:val="%7."/>
      <w:lvlJc w:val="left"/>
      <w:pPr>
        <w:ind w:left="5292" w:hanging="360"/>
      </w:pPr>
    </w:lvl>
    <w:lvl w:ilvl="7" w:tplc="04090019" w:tentative="1">
      <w:start w:val="1"/>
      <w:numFmt w:val="lowerLetter"/>
      <w:lvlText w:val="%8."/>
      <w:lvlJc w:val="left"/>
      <w:pPr>
        <w:ind w:left="6012" w:hanging="360"/>
      </w:pPr>
    </w:lvl>
    <w:lvl w:ilvl="8" w:tplc="0409001B" w:tentative="1">
      <w:start w:val="1"/>
      <w:numFmt w:val="lowerRoman"/>
      <w:lvlText w:val="%9."/>
      <w:lvlJc w:val="right"/>
      <w:pPr>
        <w:ind w:left="6732" w:hanging="180"/>
      </w:pPr>
    </w:lvl>
  </w:abstractNum>
  <w:abstractNum w:abstractNumId="23" w15:restartNumberingAfterBreak="0">
    <w:nsid w:val="4CC84C72"/>
    <w:multiLevelType w:val="hybridMultilevel"/>
    <w:tmpl w:val="F200ACF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4" w15:restartNumberingAfterBreak="0">
    <w:nsid w:val="56F00F86"/>
    <w:multiLevelType w:val="hybridMultilevel"/>
    <w:tmpl w:val="85C8BE56"/>
    <w:lvl w:ilvl="0" w:tplc="0401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72" w:hanging="360"/>
      </w:pPr>
      <w:rPr>
        <w:rFonts w:cs="Times New Roman"/>
      </w:rPr>
    </w:lvl>
    <w:lvl w:ilvl="2" w:tplc="0409001B" w:tentative="1">
      <w:start w:val="1"/>
      <w:numFmt w:val="lowerRoman"/>
      <w:lvlText w:val="%3."/>
      <w:lvlJc w:val="right"/>
      <w:pPr>
        <w:ind w:left="1592" w:hanging="180"/>
      </w:pPr>
      <w:rPr>
        <w:rFonts w:cs="Times New Roman"/>
      </w:rPr>
    </w:lvl>
    <w:lvl w:ilvl="3" w:tplc="0409000F" w:tentative="1">
      <w:start w:val="1"/>
      <w:numFmt w:val="decimal"/>
      <w:lvlText w:val="%4."/>
      <w:lvlJc w:val="left"/>
      <w:pPr>
        <w:ind w:left="2312" w:hanging="360"/>
      </w:pPr>
      <w:rPr>
        <w:rFonts w:cs="Times New Roman"/>
      </w:rPr>
    </w:lvl>
    <w:lvl w:ilvl="4" w:tplc="04090019" w:tentative="1">
      <w:start w:val="1"/>
      <w:numFmt w:val="lowerLetter"/>
      <w:lvlText w:val="%5."/>
      <w:lvlJc w:val="left"/>
      <w:pPr>
        <w:ind w:left="3032" w:hanging="360"/>
      </w:pPr>
      <w:rPr>
        <w:rFonts w:cs="Times New Roman"/>
      </w:rPr>
    </w:lvl>
    <w:lvl w:ilvl="5" w:tplc="0409001B" w:tentative="1">
      <w:start w:val="1"/>
      <w:numFmt w:val="lowerRoman"/>
      <w:lvlText w:val="%6."/>
      <w:lvlJc w:val="right"/>
      <w:pPr>
        <w:ind w:left="3752" w:hanging="180"/>
      </w:pPr>
      <w:rPr>
        <w:rFonts w:cs="Times New Roman"/>
      </w:rPr>
    </w:lvl>
    <w:lvl w:ilvl="6" w:tplc="0409000F" w:tentative="1">
      <w:start w:val="1"/>
      <w:numFmt w:val="decimal"/>
      <w:lvlText w:val="%7."/>
      <w:lvlJc w:val="left"/>
      <w:pPr>
        <w:ind w:left="4472" w:hanging="360"/>
      </w:pPr>
      <w:rPr>
        <w:rFonts w:cs="Times New Roman"/>
      </w:rPr>
    </w:lvl>
    <w:lvl w:ilvl="7" w:tplc="04090019" w:tentative="1">
      <w:start w:val="1"/>
      <w:numFmt w:val="lowerLetter"/>
      <w:lvlText w:val="%8."/>
      <w:lvlJc w:val="left"/>
      <w:pPr>
        <w:ind w:left="5192" w:hanging="360"/>
      </w:pPr>
      <w:rPr>
        <w:rFonts w:cs="Times New Roman"/>
      </w:rPr>
    </w:lvl>
    <w:lvl w:ilvl="8" w:tplc="0409001B" w:tentative="1">
      <w:start w:val="1"/>
      <w:numFmt w:val="lowerRoman"/>
      <w:lvlText w:val="%9."/>
      <w:lvlJc w:val="right"/>
      <w:pPr>
        <w:ind w:left="5912" w:hanging="180"/>
      </w:pPr>
      <w:rPr>
        <w:rFonts w:cs="Times New Roman"/>
      </w:rPr>
    </w:lvl>
  </w:abstractNum>
  <w:abstractNum w:abstractNumId="25" w15:restartNumberingAfterBreak="0">
    <w:nsid w:val="58450C69"/>
    <w:multiLevelType w:val="hybridMultilevel"/>
    <w:tmpl w:val="710EA7C0"/>
    <w:lvl w:ilvl="0" w:tplc="82240B8E">
      <w:start w:val="2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D84833"/>
    <w:multiLevelType w:val="hybridMultilevel"/>
    <w:tmpl w:val="1D244EFA"/>
    <w:lvl w:ilvl="0" w:tplc="82240B8E">
      <w:start w:val="24"/>
      <w:numFmt w:val="decimal"/>
      <w:lvlText w:val="%1."/>
      <w:lvlJc w:val="left"/>
      <w:pPr>
        <w:ind w:left="15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27" w15:restartNumberingAfterBreak="0">
    <w:nsid w:val="5D473BC0"/>
    <w:multiLevelType w:val="hybridMultilevel"/>
    <w:tmpl w:val="6894615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8" w15:restartNumberingAfterBreak="0">
    <w:nsid w:val="5F9B764D"/>
    <w:multiLevelType w:val="hybridMultilevel"/>
    <w:tmpl w:val="6C02E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7CA0A3D"/>
    <w:multiLevelType w:val="hybridMultilevel"/>
    <w:tmpl w:val="EFFC25A6"/>
    <w:lvl w:ilvl="0" w:tplc="0409000F">
      <w:start w:val="1"/>
      <w:numFmt w:val="decimal"/>
      <w:lvlText w:val="%1."/>
      <w:lvlJc w:val="left"/>
      <w:pPr>
        <w:ind w:left="972" w:hanging="360"/>
      </w:pPr>
    </w:lvl>
    <w:lvl w:ilvl="1" w:tplc="04090019" w:tentative="1">
      <w:start w:val="1"/>
      <w:numFmt w:val="lowerLetter"/>
      <w:lvlText w:val="%2."/>
      <w:lvlJc w:val="left"/>
      <w:pPr>
        <w:ind w:left="1692" w:hanging="360"/>
      </w:pPr>
    </w:lvl>
    <w:lvl w:ilvl="2" w:tplc="0409001B" w:tentative="1">
      <w:start w:val="1"/>
      <w:numFmt w:val="lowerRoman"/>
      <w:lvlText w:val="%3."/>
      <w:lvlJc w:val="right"/>
      <w:pPr>
        <w:ind w:left="2412" w:hanging="180"/>
      </w:pPr>
    </w:lvl>
    <w:lvl w:ilvl="3" w:tplc="0409000F" w:tentative="1">
      <w:start w:val="1"/>
      <w:numFmt w:val="decimal"/>
      <w:lvlText w:val="%4."/>
      <w:lvlJc w:val="left"/>
      <w:pPr>
        <w:ind w:left="3132" w:hanging="360"/>
      </w:pPr>
    </w:lvl>
    <w:lvl w:ilvl="4" w:tplc="04090019" w:tentative="1">
      <w:start w:val="1"/>
      <w:numFmt w:val="lowerLetter"/>
      <w:lvlText w:val="%5."/>
      <w:lvlJc w:val="left"/>
      <w:pPr>
        <w:ind w:left="3852" w:hanging="360"/>
      </w:pPr>
    </w:lvl>
    <w:lvl w:ilvl="5" w:tplc="0409001B" w:tentative="1">
      <w:start w:val="1"/>
      <w:numFmt w:val="lowerRoman"/>
      <w:lvlText w:val="%6."/>
      <w:lvlJc w:val="right"/>
      <w:pPr>
        <w:ind w:left="4572" w:hanging="180"/>
      </w:pPr>
    </w:lvl>
    <w:lvl w:ilvl="6" w:tplc="0409000F" w:tentative="1">
      <w:start w:val="1"/>
      <w:numFmt w:val="decimal"/>
      <w:lvlText w:val="%7."/>
      <w:lvlJc w:val="left"/>
      <w:pPr>
        <w:ind w:left="5292" w:hanging="360"/>
      </w:pPr>
    </w:lvl>
    <w:lvl w:ilvl="7" w:tplc="04090019" w:tentative="1">
      <w:start w:val="1"/>
      <w:numFmt w:val="lowerLetter"/>
      <w:lvlText w:val="%8."/>
      <w:lvlJc w:val="left"/>
      <w:pPr>
        <w:ind w:left="6012" w:hanging="360"/>
      </w:pPr>
    </w:lvl>
    <w:lvl w:ilvl="8" w:tplc="0409001B" w:tentative="1">
      <w:start w:val="1"/>
      <w:numFmt w:val="lowerRoman"/>
      <w:lvlText w:val="%9."/>
      <w:lvlJc w:val="right"/>
      <w:pPr>
        <w:ind w:left="6732" w:hanging="180"/>
      </w:pPr>
    </w:lvl>
  </w:abstractNum>
  <w:abstractNum w:abstractNumId="30" w15:restartNumberingAfterBreak="0">
    <w:nsid w:val="6FBE2287"/>
    <w:multiLevelType w:val="hybridMultilevel"/>
    <w:tmpl w:val="C16C0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251485"/>
    <w:multiLevelType w:val="hybridMultilevel"/>
    <w:tmpl w:val="A394FE9A"/>
    <w:lvl w:ilvl="0" w:tplc="BB3EE722">
      <w:numFmt w:val="bullet"/>
      <w:lvlText w:val=""/>
      <w:lvlJc w:val="left"/>
      <w:pPr>
        <w:ind w:left="1288" w:hanging="360"/>
      </w:pPr>
      <w:rPr>
        <w:rFonts w:ascii="Symbol" w:eastAsia="Times New Roman" w:hAnsi="Symbol"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2" w15:restartNumberingAfterBreak="0">
    <w:nsid w:val="71104B87"/>
    <w:multiLevelType w:val="hybridMultilevel"/>
    <w:tmpl w:val="AB6CC03E"/>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72AB5240"/>
    <w:multiLevelType w:val="hybridMultilevel"/>
    <w:tmpl w:val="2FE60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071A82"/>
    <w:multiLevelType w:val="hybridMultilevel"/>
    <w:tmpl w:val="CEC27E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15:restartNumberingAfterBreak="0">
    <w:nsid w:val="75B61FC1"/>
    <w:multiLevelType w:val="hybridMultilevel"/>
    <w:tmpl w:val="BECC36F8"/>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5FC18C3"/>
    <w:multiLevelType w:val="hybridMultilevel"/>
    <w:tmpl w:val="5448A3D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7" w15:restartNumberingAfterBreak="0">
    <w:nsid w:val="76B82FBC"/>
    <w:multiLevelType w:val="hybridMultilevel"/>
    <w:tmpl w:val="116EEA3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14"/>
  </w:num>
  <w:num w:numId="2">
    <w:abstractNumId w:val="27"/>
  </w:num>
  <w:num w:numId="3">
    <w:abstractNumId w:val="18"/>
  </w:num>
  <w:num w:numId="4">
    <w:abstractNumId w:val="10"/>
  </w:num>
  <w:num w:numId="5">
    <w:abstractNumId w:val="32"/>
  </w:num>
  <w:num w:numId="6">
    <w:abstractNumId w:val="23"/>
  </w:num>
  <w:num w:numId="7">
    <w:abstractNumId w:val="17"/>
  </w:num>
  <w:num w:numId="8">
    <w:abstractNumId w:val="7"/>
  </w:num>
  <w:num w:numId="9">
    <w:abstractNumId w:val="24"/>
  </w:num>
  <w:num w:numId="10">
    <w:abstractNumId w:val="11"/>
  </w:num>
  <w:num w:numId="11">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1"/>
  </w:num>
  <w:num w:numId="13">
    <w:abstractNumId w:val="25"/>
  </w:num>
  <w:num w:numId="14">
    <w:abstractNumId w:val="0"/>
  </w:num>
  <w:num w:numId="15">
    <w:abstractNumId w:val="19"/>
  </w:num>
  <w:num w:numId="16">
    <w:abstractNumId w:val="2"/>
  </w:num>
  <w:num w:numId="17">
    <w:abstractNumId w:val="26"/>
  </w:num>
  <w:num w:numId="1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29"/>
  </w:num>
  <w:num w:numId="24">
    <w:abstractNumId w:val="6"/>
  </w:num>
  <w:num w:numId="25">
    <w:abstractNumId w:val="37"/>
  </w:num>
  <w:num w:numId="26">
    <w:abstractNumId w:val="5"/>
  </w:num>
  <w:num w:numId="27">
    <w:abstractNumId w:val="33"/>
  </w:num>
  <w:num w:numId="28">
    <w:abstractNumId w:val="34"/>
  </w:num>
  <w:num w:numId="29">
    <w:abstractNumId w:val="30"/>
  </w:num>
  <w:num w:numId="30">
    <w:abstractNumId w:val="28"/>
  </w:num>
  <w:num w:numId="31">
    <w:abstractNumId w:val="15"/>
  </w:num>
  <w:num w:numId="32">
    <w:abstractNumId w:val="21"/>
  </w:num>
  <w:num w:numId="33">
    <w:abstractNumId w:val="4"/>
  </w:num>
  <w:num w:numId="34">
    <w:abstractNumId w:val="12"/>
  </w:num>
  <w:num w:numId="35">
    <w:abstractNumId w:val="1"/>
  </w:num>
  <w:num w:numId="36">
    <w:abstractNumId w:val="9"/>
  </w:num>
  <w:num w:numId="37">
    <w:abstractNumId w:val="3"/>
  </w:num>
  <w:num w:numId="38">
    <w:abstractNumId w:val="35"/>
  </w:num>
  <w:num w:numId="39">
    <w:abstractNumId w:val="13"/>
  </w:num>
  <w:num w:numId="40">
    <w:abstractNumId w:val="20"/>
  </w:num>
  <w:num w:numId="41">
    <w:abstractNumId w:val="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6"/>
  <w:proofState w:spelling="clean" w:grammar="clean"/>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jAwNLMwNjUzMDA1MTRR0lEKTi0uzszPAykwrQUAPNOZNCwAAAA="/>
  </w:docVars>
  <w:rsids>
    <w:rsidRoot w:val="001F2744"/>
    <w:rsid w:val="000015AB"/>
    <w:rsid w:val="0000259E"/>
    <w:rsid w:val="00003109"/>
    <w:rsid w:val="0000480C"/>
    <w:rsid w:val="0000488C"/>
    <w:rsid w:val="00005108"/>
    <w:rsid w:val="00005CD1"/>
    <w:rsid w:val="0000650F"/>
    <w:rsid w:val="00007BF1"/>
    <w:rsid w:val="000106C1"/>
    <w:rsid w:val="00011A35"/>
    <w:rsid w:val="00011D0F"/>
    <w:rsid w:val="00011E19"/>
    <w:rsid w:val="0001217D"/>
    <w:rsid w:val="000128C2"/>
    <w:rsid w:val="000152A0"/>
    <w:rsid w:val="0001622B"/>
    <w:rsid w:val="000163BE"/>
    <w:rsid w:val="00017619"/>
    <w:rsid w:val="00017E1B"/>
    <w:rsid w:val="00020126"/>
    <w:rsid w:val="000205D4"/>
    <w:rsid w:val="000211B6"/>
    <w:rsid w:val="00021836"/>
    <w:rsid w:val="00021930"/>
    <w:rsid w:val="00022054"/>
    <w:rsid w:val="00022560"/>
    <w:rsid w:val="000225D0"/>
    <w:rsid w:val="00022ED2"/>
    <w:rsid w:val="00024622"/>
    <w:rsid w:val="000249A2"/>
    <w:rsid w:val="00026A36"/>
    <w:rsid w:val="00026CE1"/>
    <w:rsid w:val="00027209"/>
    <w:rsid w:val="00030D20"/>
    <w:rsid w:val="00031EFF"/>
    <w:rsid w:val="00034854"/>
    <w:rsid w:val="00034C15"/>
    <w:rsid w:val="00035DDA"/>
    <w:rsid w:val="00035E4B"/>
    <w:rsid w:val="000370C9"/>
    <w:rsid w:val="00040C4B"/>
    <w:rsid w:val="000414D0"/>
    <w:rsid w:val="0004150F"/>
    <w:rsid w:val="00042FE0"/>
    <w:rsid w:val="000432A2"/>
    <w:rsid w:val="000436BA"/>
    <w:rsid w:val="00043B52"/>
    <w:rsid w:val="00044754"/>
    <w:rsid w:val="000457C7"/>
    <w:rsid w:val="00045A0C"/>
    <w:rsid w:val="00045CF3"/>
    <w:rsid w:val="00047837"/>
    <w:rsid w:val="00047EAC"/>
    <w:rsid w:val="0005015E"/>
    <w:rsid w:val="00050C4D"/>
    <w:rsid w:val="00050EE4"/>
    <w:rsid w:val="00054038"/>
    <w:rsid w:val="000547E8"/>
    <w:rsid w:val="00054FF8"/>
    <w:rsid w:val="0005542D"/>
    <w:rsid w:val="00056A4C"/>
    <w:rsid w:val="00056EFF"/>
    <w:rsid w:val="00056F1F"/>
    <w:rsid w:val="00057248"/>
    <w:rsid w:val="00061A8B"/>
    <w:rsid w:val="0006485A"/>
    <w:rsid w:val="00064D21"/>
    <w:rsid w:val="000653BF"/>
    <w:rsid w:val="00066234"/>
    <w:rsid w:val="000666B9"/>
    <w:rsid w:val="0006733F"/>
    <w:rsid w:val="00067375"/>
    <w:rsid w:val="00070810"/>
    <w:rsid w:val="00071342"/>
    <w:rsid w:val="00071895"/>
    <w:rsid w:val="00071B44"/>
    <w:rsid w:val="00071EE2"/>
    <w:rsid w:val="00072214"/>
    <w:rsid w:val="000730FB"/>
    <w:rsid w:val="0007478A"/>
    <w:rsid w:val="00075F09"/>
    <w:rsid w:val="00076D28"/>
    <w:rsid w:val="00081EDB"/>
    <w:rsid w:val="00082D3C"/>
    <w:rsid w:val="00082E45"/>
    <w:rsid w:val="00083337"/>
    <w:rsid w:val="00084978"/>
    <w:rsid w:val="00084AEE"/>
    <w:rsid w:val="00085277"/>
    <w:rsid w:val="00085573"/>
    <w:rsid w:val="000863F4"/>
    <w:rsid w:val="00086E73"/>
    <w:rsid w:val="000878AD"/>
    <w:rsid w:val="000902D0"/>
    <w:rsid w:val="0009119F"/>
    <w:rsid w:val="00091DCE"/>
    <w:rsid w:val="00091ED2"/>
    <w:rsid w:val="00091FE1"/>
    <w:rsid w:val="00092967"/>
    <w:rsid w:val="00093168"/>
    <w:rsid w:val="000932AE"/>
    <w:rsid w:val="00093CDA"/>
    <w:rsid w:val="00093F82"/>
    <w:rsid w:val="00094867"/>
    <w:rsid w:val="00094FD3"/>
    <w:rsid w:val="0009574B"/>
    <w:rsid w:val="00095B20"/>
    <w:rsid w:val="0009637A"/>
    <w:rsid w:val="00097847"/>
    <w:rsid w:val="000A09DD"/>
    <w:rsid w:val="000A0A5F"/>
    <w:rsid w:val="000A2826"/>
    <w:rsid w:val="000A426B"/>
    <w:rsid w:val="000A4DED"/>
    <w:rsid w:val="000A54C4"/>
    <w:rsid w:val="000A5CFF"/>
    <w:rsid w:val="000A66E8"/>
    <w:rsid w:val="000A6F09"/>
    <w:rsid w:val="000A7477"/>
    <w:rsid w:val="000B0445"/>
    <w:rsid w:val="000B1056"/>
    <w:rsid w:val="000B1364"/>
    <w:rsid w:val="000B1DD8"/>
    <w:rsid w:val="000B29D8"/>
    <w:rsid w:val="000B3D9A"/>
    <w:rsid w:val="000B464B"/>
    <w:rsid w:val="000B5AFB"/>
    <w:rsid w:val="000B5D0A"/>
    <w:rsid w:val="000B61E4"/>
    <w:rsid w:val="000B6AA1"/>
    <w:rsid w:val="000B6F29"/>
    <w:rsid w:val="000C06B4"/>
    <w:rsid w:val="000C0E16"/>
    <w:rsid w:val="000C1652"/>
    <w:rsid w:val="000C2FDB"/>
    <w:rsid w:val="000C3777"/>
    <w:rsid w:val="000C45BC"/>
    <w:rsid w:val="000C5EEF"/>
    <w:rsid w:val="000C5F39"/>
    <w:rsid w:val="000C5F6C"/>
    <w:rsid w:val="000C5FCE"/>
    <w:rsid w:val="000C603D"/>
    <w:rsid w:val="000C6C18"/>
    <w:rsid w:val="000C724A"/>
    <w:rsid w:val="000C7D52"/>
    <w:rsid w:val="000D061C"/>
    <w:rsid w:val="000D0910"/>
    <w:rsid w:val="000D127C"/>
    <w:rsid w:val="000D1B92"/>
    <w:rsid w:val="000D1F8B"/>
    <w:rsid w:val="000D23AB"/>
    <w:rsid w:val="000D29C8"/>
    <w:rsid w:val="000D382D"/>
    <w:rsid w:val="000D6182"/>
    <w:rsid w:val="000D67F7"/>
    <w:rsid w:val="000D6E1F"/>
    <w:rsid w:val="000E02DB"/>
    <w:rsid w:val="000E02F0"/>
    <w:rsid w:val="000E0593"/>
    <w:rsid w:val="000E1321"/>
    <w:rsid w:val="000E3433"/>
    <w:rsid w:val="000E4CAC"/>
    <w:rsid w:val="000E54C9"/>
    <w:rsid w:val="000E5EC7"/>
    <w:rsid w:val="000E66DE"/>
    <w:rsid w:val="000E674F"/>
    <w:rsid w:val="000F0472"/>
    <w:rsid w:val="000F24DF"/>
    <w:rsid w:val="000F27D6"/>
    <w:rsid w:val="000F3D1B"/>
    <w:rsid w:val="000F44F5"/>
    <w:rsid w:val="000F485D"/>
    <w:rsid w:val="000F596E"/>
    <w:rsid w:val="000F7498"/>
    <w:rsid w:val="00100B2A"/>
    <w:rsid w:val="00100B38"/>
    <w:rsid w:val="00100DEE"/>
    <w:rsid w:val="00101152"/>
    <w:rsid w:val="0010124B"/>
    <w:rsid w:val="0010154C"/>
    <w:rsid w:val="00101937"/>
    <w:rsid w:val="0010297B"/>
    <w:rsid w:val="00103712"/>
    <w:rsid w:val="0010450F"/>
    <w:rsid w:val="001047EC"/>
    <w:rsid w:val="0010658D"/>
    <w:rsid w:val="00106734"/>
    <w:rsid w:val="001113F3"/>
    <w:rsid w:val="001115AF"/>
    <w:rsid w:val="00112829"/>
    <w:rsid w:val="00113038"/>
    <w:rsid w:val="001135FE"/>
    <w:rsid w:val="0011378B"/>
    <w:rsid w:val="0011493F"/>
    <w:rsid w:val="00116703"/>
    <w:rsid w:val="00116F90"/>
    <w:rsid w:val="00120A84"/>
    <w:rsid w:val="00121893"/>
    <w:rsid w:val="00122AF9"/>
    <w:rsid w:val="00123CC8"/>
    <w:rsid w:val="00123D59"/>
    <w:rsid w:val="00124A92"/>
    <w:rsid w:val="00124D0C"/>
    <w:rsid w:val="001255E0"/>
    <w:rsid w:val="00131DBB"/>
    <w:rsid w:val="001323E7"/>
    <w:rsid w:val="0013290F"/>
    <w:rsid w:val="0013461D"/>
    <w:rsid w:val="001355E8"/>
    <w:rsid w:val="00136C35"/>
    <w:rsid w:val="00136C7B"/>
    <w:rsid w:val="00136CB3"/>
    <w:rsid w:val="00136F22"/>
    <w:rsid w:val="001378A2"/>
    <w:rsid w:val="00137C97"/>
    <w:rsid w:val="001402CB"/>
    <w:rsid w:val="00140A7B"/>
    <w:rsid w:val="00142FF9"/>
    <w:rsid w:val="00143B11"/>
    <w:rsid w:val="00143DDC"/>
    <w:rsid w:val="00143E37"/>
    <w:rsid w:val="00144BA5"/>
    <w:rsid w:val="00145D3D"/>
    <w:rsid w:val="00145F25"/>
    <w:rsid w:val="001471B6"/>
    <w:rsid w:val="0014747E"/>
    <w:rsid w:val="00147B13"/>
    <w:rsid w:val="00151479"/>
    <w:rsid w:val="00151705"/>
    <w:rsid w:val="00151781"/>
    <w:rsid w:val="0015181E"/>
    <w:rsid w:val="0015269E"/>
    <w:rsid w:val="00152AE1"/>
    <w:rsid w:val="00152C4D"/>
    <w:rsid w:val="0015308F"/>
    <w:rsid w:val="001533EC"/>
    <w:rsid w:val="001536CF"/>
    <w:rsid w:val="0015396D"/>
    <w:rsid w:val="001547A7"/>
    <w:rsid w:val="00155A01"/>
    <w:rsid w:val="001562EF"/>
    <w:rsid w:val="001575DF"/>
    <w:rsid w:val="001575EE"/>
    <w:rsid w:val="00160F78"/>
    <w:rsid w:val="00161B29"/>
    <w:rsid w:val="0016525E"/>
    <w:rsid w:val="00165F15"/>
    <w:rsid w:val="0017012B"/>
    <w:rsid w:val="00170FC8"/>
    <w:rsid w:val="001710EF"/>
    <w:rsid w:val="0017458F"/>
    <w:rsid w:val="00174786"/>
    <w:rsid w:val="0017498C"/>
    <w:rsid w:val="0017635F"/>
    <w:rsid w:val="001765FC"/>
    <w:rsid w:val="001800DC"/>
    <w:rsid w:val="001804B8"/>
    <w:rsid w:val="001809D2"/>
    <w:rsid w:val="001820BE"/>
    <w:rsid w:val="001837A1"/>
    <w:rsid w:val="00183E72"/>
    <w:rsid w:val="001851F6"/>
    <w:rsid w:val="001929DE"/>
    <w:rsid w:val="00192C14"/>
    <w:rsid w:val="001933C6"/>
    <w:rsid w:val="00195ED8"/>
    <w:rsid w:val="00196D6C"/>
    <w:rsid w:val="0019762D"/>
    <w:rsid w:val="001A090C"/>
    <w:rsid w:val="001A0F85"/>
    <w:rsid w:val="001A1002"/>
    <w:rsid w:val="001A2CD9"/>
    <w:rsid w:val="001A32EE"/>
    <w:rsid w:val="001A36C7"/>
    <w:rsid w:val="001A3CD5"/>
    <w:rsid w:val="001A3D25"/>
    <w:rsid w:val="001A762F"/>
    <w:rsid w:val="001A7CA1"/>
    <w:rsid w:val="001B1777"/>
    <w:rsid w:val="001B27A0"/>
    <w:rsid w:val="001B468E"/>
    <w:rsid w:val="001B4B14"/>
    <w:rsid w:val="001B511E"/>
    <w:rsid w:val="001B5ADF"/>
    <w:rsid w:val="001B5B74"/>
    <w:rsid w:val="001B5EAF"/>
    <w:rsid w:val="001B6A74"/>
    <w:rsid w:val="001B7799"/>
    <w:rsid w:val="001B7E25"/>
    <w:rsid w:val="001C1E25"/>
    <w:rsid w:val="001C2022"/>
    <w:rsid w:val="001C23EC"/>
    <w:rsid w:val="001C3158"/>
    <w:rsid w:val="001C3666"/>
    <w:rsid w:val="001C48A0"/>
    <w:rsid w:val="001C6114"/>
    <w:rsid w:val="001C677E"/>
    <w:rsid w:val="001C6EBE"/>
    <w:rsid w:val="001C70A9"/>
    <w:rsid w:val="001C78D5"/>
    <w:rsid w:val="001C7E56"/>
    <w:rsid w:val="001D002C"/>
    <w:rsid w:val="001D0620"/>
    <w:rsid w:val="001D0687"/>
    <w:rsid w:val="001D0732"/>
    <w:rsid w:val="001D1072"/>
    <w:rsid w:val="001D2B22"/>
    <w:rsid w:val="001D2BFA"/>
    <w:rsid w:val="001D3101"/>
    <w:rsid w:val="001D322D"/>
    <w:rsid w:val="001D39E7"/>
    <w:rsid w:val="001D3D2C"/>
    <w:rsid w:val="001D3F93"/>
    <w:rsid w:val="001D4AEF"/>
    <w:rsid w:val="001D7B23"/>
    <w:rsid w:val="001E01DF"/>
    <w:rsid w:val="001E0D59"/>
    <w:rsid w:val="001E12D6"/>
    <w:rsid w:val="001E1456"/>
    <w:rsid w:val="001E1647"/>
    <w:rsid w:val="001E28F6"/>
    <w:rsid w:val="001E2B42"/>
    <w:rsid w:val="001E5144"/>
    <w:rsid w:val="001E51C5"/>
    <w:rsid w:val="001E670E"/>
    <w:rsid w:val="001E75CD"/>
    <w:rsid w:val="001E7870"/>
    <w:rsid w:val="001F11DC"/>
    <w:rsid w:val="001F121C"/>
    <w:rsid w:val="001F2358"/>
    <w:rsid w:val="001F23F9"/>
    <w:rsid w:val="001F2744"/>
    <w:rsid w:val="001F3A54"/>
    <w:rsid w:val="001F3DCB"/>
    <w:rsid w:val="001F4A25"/>
    <w:rsid w:val="001F4E37"/>
    <w:rsid w:val="001F57C6"/>
    <w:rsid w:val="001F679C"/>
    <w:rsid w:val="001F691C"/>
    <w:rsid w:val="001F74C6"/>
    <w:rsid w:val="002006D5"/>
    <w:rsid w:val="00200D42"/>
    <w:rsid w:val="00202785"/>
    <w:rsid w:val="00204A61"/>
    <w:rsid w:val="0020619D"/>
    <w:rsid w:val="002076DF"/>
    <w:rsid w:val="00207DA3"/>
    <w:rsid w:val="0021079C"/>
    <w:rsid w:val="00210CA8"/>
    <w:rsid w:val="002110DB"/>
    <w:rsid w:val="002115DE"/>
    <w:rsid w:val="00211DE3"/>
    <w:rsid w:val="00213390"/>
    <w:rsid w:val="0021410D"/>
    <w:rsid w:val="00214B2D"/>
    <w:rsid w:val="002154FF"/>
    <w:rsid w:val="0021610B"/>
    <w:rsid w:val="0021699B"/>
    <w:rsid w:val="00216A81"/>
    <w:rsid w:val="00216CB6"/>
    <w:rsid w:val="00216D7D"/>
    <w:rsid w:val="002173CB"/>
    <w:rsid w:val="0021776D"/>
    <w:rsid w:val="00217ABF"/>
    <w:rsid w:val="00220330"/>
    <w:rsid w:val="00220A86"/>
    <w:rsid w:val="00221A60"/>
    <w:rsid w:val="00221CF1"/>
    <w:rsid w:val="00221ED8"/>
    <w:rsid w:val="002223CF"/>
    <w:rsid w:val="0022246A"/>
    <w:rsid w:val="00222F55"/>
    <w:rsid w:val="00223297"/>
    <w:rsid w:val="00223B48"/>
    <w:rsid w:val="0022405C"/>
    <w:rsid w:val="00224C27"/>
    <w:rsid w:val="00225AC5"/>
    <w:rsid w:val="00225FCE"/>
    <w:rsid w:val="0022731B"/>
    <w:rsid w:val="002274E5"/>
    <w:rsid w:val="00230436"/>
    <w:rsid w:val="0023073A"/>
    <w:rsid w:val="00232714"/>
    <w:rsid w:val="0023386F"/>
    <w:rsid w:val="0023449A"/>
    <w:rsid w:val="00234C75"/>
    <w:rsid w:val="00235572"/>
    <w:rsid w:val="0023575F"/>
    <w:rsid w:val="002370C0"/>
    <w:rsid w:val="0024036D"/>
    <w:rsid w:val="00240BFF"/>
    <w:rsid w:val="00240C22"/>
    <w:rsid w:val="00240D0A"/>
    <w:rsid w:val="0024106F"/>
    <w:rsid w:val="00241615"/>
    <w:rsid w:val="0024191B"/>
    <w:rsid w:val="00241BFB"/>
    <w:rsid w:val="00242595"/>
    <w:rsid w:val="00242C57"/>
    <w:rsid w:val="00243C41"/>
    <w:rsid w:val="00243D35"/>
    <w:rsid w:val="00244AEA"/>
    <w:rsid w:val="00244D09"/>
    <w:rsid w:val="0024588D"/>
    <w:rsid w:val="0024656E"/>
    <w:rsid w:val="00247253"/>
    <w:rsid w:val="002475BA"/>
    <w:rsid w:val="00247A14"/>
    <w:rsid w:val="00250031"/>
    <w:rsid w:val="002514FB"/>
    <w:rsid w:val="00254951"/>
    <w:rsid w:val="00254BAB"/>
    <w:rsid w:val="00254E3E"/>
    <w:rsid w:val="00255407"/>
    <w:rsid w:val="00255560"/>
    <w:rsid w:val="00255750"/>
    <w:rsid w:val="002575BC"/>
    <w:rsid w:val="00257689"/>
    <w:rsid w:val="00257A40"/>
    <w:rsid w:val="002601A4"/>
    <w:rsid w:val="00260398"/>
    <w:rsid w:val="0026040C"/>
    <w:rsid w:val="002626AB"/>
    <w:rsid w:val="002632FA"/>
    <w:rsid w:val="00263455"/>
    <w:rsid w:val="002649CD"/>
    <w:rsid w:val="00266287"/>
    <w:rsid w:val="00266749"/>
    <w:rsid w:val="002667DE"/>
    <w:rsid w:val="002669C3"/>
    <w:rsid w:val="002678CA"/>
    <w:rsid w:val="00267A35"/>
    <w:rsid w:val="00270BFD"/>
    <w:rsid w:val="0027211E"/>
    <w:rsid w:val="00275B40"/>
    <w:rsid w:val="00275CE5"/>
    <w:rsid w:val="002767CE"/>
    <w:rsid w:val="00276CD5"/>
    <w:rsid w:val="00277240"/>
    <w:rsid w:val="00280560"/>
    <w:rsid w:val="002806F7"/>
    <w:rsid w:val="00281833"/>
    <w:rsid w:val="00283DE2"/>
    <w:rsid w:val="00284752"/>
    <w:rsid w:val="00284E7A"/>
    <w:rsid w:val="00286F02"/>
    <w:rsid w:val="0029075F"/>
    <w:rsid w:val="00291BD0"/>
    <w:rsid w:val="00292787"/>
    <w:rsid w:val="00293037"/>
    <w:rsid w:val="00293AAC"/>
    <w:rsid w:val="00294CFB"/>
    <w:rsid w:val="00296098"/>
    <w:rsid w:val="00296D88"/>
    <w:rsid w:val="002970BC"/>
    <w:rsid w:val="002977AC"/>
    <w:rsid w:val="00297DAB"/>
    <w:rsid w:val="002A056E"/>
    <w:rsid w:val="002A1227"/>
    <w:rsid w:val="002A153E"/>
    <w:rsid w:val="002A1602"/>
    <w:rsid w:val="002A181C"/>
    <w:rsid w:val="002B0279"/>
    <w:rsid w:val="002B0B60"/>
    <w:rsid w:val="002B21CD"/>
    <w:rsid w:val="002B2E9C"/>
    <w:rsid w:val="002B3A26"/>
    <w:rsid w:val="002B408A"/>
    <w:rsid w:val="002B4358"/>
    <w:rsid w:val="002B59C8"/>
    <w:rsid w:val="002B5BBC"/>
    <w:rsid w:val="002B6D87"/>
    <w:rsid w:val="002B6D9E"/>
    <w:rsid w:val="002B6F8E"/>
    <w:rsid w:val="002B6FBB"/>
    <w:rsid w:val="002B7837"/>
    <w:rsid w:val="002B7994"/>
    <w:rsid w:val="002C0B20"/>
    <w:rsid w:val="002C0C27"/>
    <w:rsid w:val="002C1514"/>
    <w:rsid w:val="002C1706"/>
    <w:rsid w:val="002C181A"/>
    <w:rsid w:val="002C1DC7"/>
    <w:rsid w:val="002C203F"/>
    <w:rsid w:val="002C239F"/>
    <w:rsid w:val="002C3479"/>
    <w:rsid w:val="002C3589"/>
    <w:rsid w:val="002C3725"/>
    <w:rsid w:val="002C4BB1"/>
    <w:rsid w:val="002C5122"/>
    <w:rsid w:val="002C6646"/>
    <w:rsid w:val="002C6B04"/>
    <w:rsid w:val="002D0291"/>
    <w:rsid w:val="002D2740"/>
    <w:rsid w:val="002D27D0"/>
    <w:rsid w:val="002D3119"/>
    <w:rsid w:val="002D4A3D"/>
    <w:rsid w:val="002D4B94"/>
    <w:rsid w:val="002D5736"/>
    <w:rsid w:val="002D5AE3"/>
    <w:rsid w:val="002D7132"/>
    <w:rsid w:val="002D738B"/>
    <w:rsid w:val="002E0DFC"/>
    <w:rsid w:val="002E1695"/>
    <w:rsid w:val="002E31D0"/>
    <w:rsid w:val="002E416B"/>
    <w:rsid w:val="002E429B"/>
    <w:rsid w:val="002E464F"/>
    <w:rsid w:val="002E55CA"/>
    <w:rsid w:val="002E5A85"/>
    <w:rsid w:val="002E6102"/>
    <w:rsid w:val="002E61DA"/>
    <w:rsid w:val="002E61F0"/>
    <w:rsid w:val="002E767E"/>
    <w:rsid w:val="002E77CD"/>
    <w:rsid w:val="002F0183"/>
    <w:rsid w:val="002F05C0"/>
    <w:rsid w:val="002F09D0"/>
    <w:rsid w:val="002F120C"/>
    <w:rsid w:val="002F2337"/>
    <w:rsid w:val="002F3F43"/>
    <w:rsid w:val="002F534C"/>
    <w:rsid w:val="002F6423"/>
    <w:rsid w:val="002F6DE5"/>
    <w:rsid w:val="003019B4"/>
    <w:rsid w:val="0030277E"/>
    <w:rsid w:val="00302C09"/>
    <w:rsid w:val="00304BD0"/>
    <w:rsid w:val="003065D4"/>
    <w:rsid w:val="003066A7"/>
    <w:rsid w:val="00307709"/>
    <w:rsid w:val="00307E71"/>
    <w:rsid w:val="00310097"/>
    <w:rsid w:val="0031021A"/>
    <w:rsid w:val="00310246"/>
    <w:rsid w:val="00310703"/>
    <w:rsid w:val="00310AD8"/>
    <w:rsid w:val="0031155E"/>
    <w:rsid w:val="003115C9"/>
    <w:rsid w:val="00313648"/>
    <w:rsid w:val="00313EC0"/>
    <w:rsid w:val="003140B4"/>
    <w:rsid w:val="003145A4"/>
    <w:rsid w:val="00315739"/>
    <w:rsid w:val="003159CE"/>
    <w:rsid w:val="00316F33"/>
    <w:rsid w:val="003202DB"/>
    <w:rsid w:val="003203D2"/>
    <w:rsid w:val="00320722"/>
    <w:rsid w:val="00322374"/>
    <w:rsid w:val="0032238A"/>
    <w:rsid w:val="00322601"/>
    <w:rsid w:val="003233AA"/>
    <w:rsid w:val="003234F3"/>
    <w:rsid w:val="003235DA"/>
    <w:rsid w:val="00323648"/>
    <w:rsid w:val="00323A9A"/>
    <w:rsid w:val="00324085"/>
    <w:rsid w:val="00325F4F"/>
    <w:rsid w:val="003265C1"/>
    <w:rsid w:val="00327ACB"/>
    <w:rsid w:val="003307CD"/>
    <w:rsid w:val="00331B49"/>
    <w:rsid w:val="00332048"/>
    <w:rsid w:val="00332980"/>
    <w:rsid w:val="00335779"/>
    <w:rsid w:val="003359C3"/>
    <w:rsid w:val="003362D3"/>
    <w:rsid w:val="0033638A"/>
    <w:rsid w:val="0033655E"/>
    <w:rsid w:val="00337476"/>
    <w:rsid w:val="00337EA8"/>
    <w:rsid w:val="00340044"/>
    <w:rsid w:val="0034011E"/>
    <w:rsid w:val="0034017C"/>
    <w:rsid w:val="003424E3"/>
    <w:rsid w:val="00342648"/>
    <w:rsid w:val="00342B75"/>
    <w:rsid w:val="00343207"/>
    <w:rsid w:val="00343AF8"/>
    <w:rsid w:val="00345ADA"/>
    <w:rsid w:val="003475DB"/>
    <w:rsid w:val="0035336D"/>
    <w:rsid w:val="00354BB4"/>
    <w:rsid w:val="00354F1F"/>
    <w:rsid w:val="0035714C"/>
    <w:rsid w:val="0035783F"/>
    <w:rsid w:val="00357C35"/>
    <w:rsid w:val="00360305"/>
    <w:rsid w:val="00362707"/>
    <w:rsid w:val="00362CFF"/>
    <w:rsid w:val="00362F13"/>
    <w:rsid w:val="003632E1"/>
    <w:rsid w:val="003636DC"/>
    <w:rsid w:val="00363918"/>
    <w:rsid w:val="00363A27"/>
    <w:rsid w:val="003640B2"/>
    <w:rsid w:val="00365FAA"/>
    <w:rsid w:val="003667BF"/>
    <w:rsid w:val="0037009A"/>
    <w:rsid w:val="003706DE"/>
    <w:rsid w:val="00371581"/>
    <w:rsid w:val="003715A5"/>
    <w:rsid w:val="0037184A"/>
    <w:rsid w:val="00373902"/>
    <w:rsid w:val="00373FAB"/>
    <w:rsid w:val="00374E23"/>
    <w:rsid w:val="00375AB4"/>
    <w:rsid w:val="00375BB8"/>
    <w:rsid w:val="003764AD"/>
    <w:rsid w:val="003775B1"/>
    <w:rsid w:val="0037768C"/>
    <w:rsid w:val="00377785"/>
    <w:rsid w:val="00380F9D"/>
    <w:rsid w:val="00381FD6"/>
    <w:rsid w:val="00382641"/>
    <w:rsid w:val="00382A28"/>
    <w:rsid w:val="0038324B"/>
    <w:rsid w:val="00383330"/>
    <w:rsid w:val="003834A2"/>
    <w:rsid w:val="00383923"/>
    <w:rsid w:val="00383AFC"/>
    <w:rsid w:val="003851F1"/>
    <w:rsid w:val="0038645D"/>
    <w:rsid w:val="00386641"/>
    <w:rsid w:val="00387F72"/>
    <w:rsid w:val="003920BA"/>
    <w:rsid w:val="00392B31"/>
    <w:rsid w:val="00392B88"/>
    <w:rsid w:val="00392CBC"/>
    <w:rsid w:val="003936AC"/>
    <w:rsid w:val="0039372B"/>
    <w:rsid w:val="003940C7"/>
    <w:rsid w:val="00395E0B"/>
    <w:rsid w:val="00396BC1"/>
    <w:rsid w:val="00397ECB"/>
    <w:rsid w:val="003A0054"/>
    <w:rsid w:val="003A0BA2"/>
    <w:rsid w:val="003A0CEF"/>
    <w:rsid w:val="003A186C"/>
    <w:rsid w:val="003A24FC"/>
    <w:rsid w:val="003A2705"/>
    <w:rsid w:val="003A2BC6"/>
    <w:rsid w:val="003A335B"/>
    <w:rsid w:val="003A3451"/>
    <w:rsid w:val="003A37AA"/>
    <w:rsid w:val="003A3E4C"/>
    <w:rsid w:val="003A4C52"/>
    <w:rsid w:val="003A5309"/>
    <w:rsid w:val="003A59C1"/>
    <w:rsid w:val="003A5BFA"/>
    <w:rsid w:val="003A67ED"/>
    <w:rsid w:val="003A67FB"/>
    <w:rsid w:val="003A7749"/>
    <w:rsid w:val="003B05A9"/>
    <w:rsid w:val="003B0688"/>
    <w:rsid w:val="003B0918"/>
    <w:rsid w:val="003B2866"/>
    <w:rsid w:val="003B32EA"/>
    <w:rsid w:val="003B446A"/>
    <w:rsid w:val="003B59B1"/>
    <w:rsid w:val="003B61E4"/>
    <w:rsid w:val="003B7051"/>
    <w:rsid w:val="003B7076"/>
    <w:rsid w:val="003C0114"/>
    <w:rsid w:val="003C0168"/>
    <w:rsid w:val="003C1A4E"/>
    <w:rsid w:val="003C27F3"/>
    <w:rsid w:val="003C2A27"/>
    <w:rsid w:val="003C35FF"/>
    <w:rsid w:val="003C4F1C"/>
    <w:rsid w:val="003C4FF7"/>
    <w:rsid w:val="003C5BE2"/>
    <w:rsid w:val="003C6808"/>
    <w:rsid w:val="003C6913"/>
    <w:rsid w:val="003C6E13"/>
    <w:rsid w:val="003C6F02"/>
    <w:rsid w:val="003D120E"/>
    <w:rsid w:val="003D3EDB"/>
    <w:rsid w:val="003D5424"/>
    <w:rsid w:val="003D6A54"/>
    <w:rsid w:val="003D7286"/>
    <w:rsid w:val="003D7780"/>
    <w:rsid w:val="003D79DE"/>
    <w:rsid w:val="003E0444"/>
    <w:rsid w:val="003E06A1"/>
    <w:rsid w:val="003E0C48"/>
    <w:rsid w:val="003E13D7"/>
    <w:rsid w:val="003E4CA5"/>
    <w:rsid w:val="003E50BD"/>
    <w:rsid w:val="003E58F6"/>
    <w:rsid w:val="003E6F05"/>
    <w:rsid w:val="003E7079"/>
    <w:rsid w:val="003E7751"/>
    <w:rsid w:val="003E7B2E"/>
    <w:rsid w:val="003F0986"/>
    <w:rsid w:val="003F278D"/>
    <w:rsid w:val="003F2855"/>
    <w:rsid w:val="003F2B8D"/>
    <w:rsid w:val="003F41CF"/>
    <w:rsid w:val="003F4F0D"/>
    <w:rsid w:val="003F5771"/>
    <w:rsid w:val="003F6A00"/>
    <w:rsid w:val="003F6F59"/>
    <w:rsid w:val="004000BB"/>
    <w:rsid w:val="004001BC"/>
    <w:rsid w:val="00401B52"/>
    <w:rsid w:val="00402E9F"/>
    <w:rsid w:val="00402F39"/>
    <w:rsid w:val="004032A8"/>
    <w:rsid w:val="0040351E"/>
    <w:rsid w:val="004038F2"/>
    <w:rsid w:val="004046B2"/>
    <w:rsid w:val="00404CEC"/>
    <w:rsid w:val="00405A6A"/>
    <w:rsid w:val="00405C3C"/>
    <w:rsid w:val="00405DEA"/>
    <w:rsid w:val="00407312"/>
    <w:rsid w:val="00407786"/>
    <w:rsid w:val="00411287"/>
    <w:rsid w:val="0041233E"/>
    <w:rsid w:val="004130C3"/>
    <w:rsid w:val="004144D6"/>
    <w:rsid w:val="004200AD"/>
    <w:rsid w:val="004219AF"/>
    <w:rsid w:val="004224DA"/>
    <w:rsid w:val="00423529"/>
    <w:rsid w:val="004243CF"/>
    <w:rsid w:val="00424569"/>
    <w:rsid w:val="00424F70"/>
    <w:rsid w:val="00425440"/>
    <w:rsid w:val="00426EE0"/>
    <w:rsid w:val="0042796D"/>
    <w:rsid w:val="00427B05"/>
    <w:rsid w:val="004304CD"/>
    <w:rsid w:val="00431046"/>
    <w:rsid w:val="00431269"/>
    <w:rsid w:val="004320A6"/>
    <w:rsid w:val="00433353"/>
    <w:rsid w:val="0043358A"/>
    <w:rsid w:val="004339B5"/>
    <w:rsid w:val="00433D05"/>
    <w:rsid w:val="004344B9"/>
    <w:rsid w:val="0043477E"/>
    <w:rsid w:val="00434DEE"/>
    <w:rsid w:val="00435E16"/>
    <w:rsid w:val="00435E73"/>
    <w:rsid w:val="004360BF"/>
    <w:rsid w:val="00437604"/>
    <w:rsid w:val="004402D8"/>
    <w:rsid w:val="00440D1E"/>
    <w:rsid w:val="0044309F"/>
    <w:rsid w:val="004433F1"/>
    <w:rsid w:val="0044376A"/>
    <w:rsid w:val="00443EFE"/>
    <w:rsid w:val="00443F3F"/>
    <w:rsid w:val="004445CA"/>
    <w:rsid w:val="00444CAC"/>
    <w:rsid w:val="0044506A"/>
    <w:rsid w:val="004466EC"/>
    <w:rsid w:val="004519D4"/>
    <w:rsid w:val="00451E35"/>
    <w:rsid w:val="00451F6B"/>
    <w:rsid w:val="00452C0A"/>
    <w:rsid w:val="004531E5"/>
    <w:rsid w:val="00453D69"/>
    <w:rsid w:val="004540C3"/>
    <w:rsid w:val="00454517"/>
    <w:rsid w:val="00454622"/>
    <w:rsid w:val="00454844"/>
    <w:rsid w:val="0045625E"/>
    <w:rsid w:val="00456A8A"/>
    <w:rsid w:val="00456F8D"/>
    <w:rsid w:val="0045773F"/>
    <w:rsid w:val="004601D7"/>
    <w:rsid w:val="00460B5B"/>
    <w:rsid w:val="0046185E"/>
    <w:rsid w:val="00461937"/>
    <w:rsid w:val="00461A2E"/>
    <w:rsid w:val="00461F53"/>
    <w:rsid w:val="00462839"/>
    <w:rsid w:val="0046361B"/>
    <w:rsid w:val="004642B0"/>
    <w:rsid w:val="00464E9E"/>
    <w:rsid w:val="004654EC"/>
    <w:rsid w:val="00465928"/>
    <w:rsid w:val="00465E4F"/>
    <w:rsid w:val="00466639"/>
    <w:rsid w:val="0046752A"/>
    <w:rsid w:val="00470834"/>
    <w:rsid w:val="00471101"/>
    <w:rsid w:val="0047128E"/>
    <w:rsid w:val="0047205F"/>
    <w:rsid w:val="004724D5"/>
    <w:rsid w:val="004737FF"/>
    <w:rsid w:val="00473BC4"/>
    <w:rsid w:val="00473F2D"/>
    <w:rsid w:val="004756FF"/>
    <w:rsid w:val="00476FBF"/>
    <w:rsid w:val="00481636"/>
    <w:rsid w:val="00481B9E"/>
    <w:rsid w:val="00481E9C"/>
    <w:rsid w:val="00485D10"/>
    <w:rsid w:val="00486336"/>
    <w:rsid w:val="00486345"/>
    <w:rsid w:val="00490556"/>
    <w:rsid w:val="00490E63"/>
    <w:rsid w:val="004911B5"/>
    <w:rsid w:val="00491633"/>
    <w:rsid w:val="00492F7A"/>
    <w:rsid w:val="004931BB"/>
    <w:rsid w:val="00493418"/>
    <w:rsid w:val="00493687"/>
    <w:rsid w:val="00493CAB"/>
    <w:rsid w:val="004945D8"/>
    <w:rsid w:val="00494BA7"/>
    <w:rsid w:val="004959C4"/>
    <w:rsid w:val="00495C6D"/>
    <w:rsid w:val="00496346"/>
    <w:rsid w:val="0049664F"/>
    <w:rsid w:val="00497904"/>
    <w:rsid w:val="00497C9A"/>
    <w:rsid w:val="004A0CDC"/>
    <w:rsid w:val="004A0DFF"/>
    <w:rsid w:val="004A1DA4"/>
    <w:rsid w:val="004A2C49"/>
    <w:rsid w:val="004A4C84"/>
    <w:rsid w:val="004A4EF6"/>
    <w:rsid w:val="004A530C"/>
    <w:rsid w:val="004A63C4"/>
    <w:rsid w:val="004A7881"/>
    <w:rsid w:val="004B0720"/>
    <w:rsid w:val="004B0842"/>
    <w:rsid w:val="004B0E12"/>
    <w:rsid w:val="004B0F81"/>
    <w:rsid w:val="004B10B0"/>
    <w:rsid w:val="004B147B"/>
    <w:rsid w:val="004B15B8"/>
    <w:rsid w:val="004B1965"/>
    <w:rsid w:val="004B3DF8"/>
    <w:rsid w:val="004B480C"/>
    <w:rsid w:val="004B6380"/>
    <w:rsid w:val="004B7662"/>
    <w:rsid w:val="004C1638"/>
    <w:rsid w:val="004C1713"/>
    <w:rsid w:val="004C1761"/>
    <w:rsid w:val="004C1793"/>
    <w:rsid w:val="004C1FDF"/>
    <w:rsid w:val="004C22FD"/>
    <w:rsid w:val="004C28E6"/>
    <w:rsid w:val="004C3FF3"/>
    <w:rsid w:val="004C43C7"/>
    <w:rsid w:val="004C5FD1"/>
    <w:rsid w:val="004C6BDD"/>
    <w:rsid w:val="004C75AA"/>
    <w:rsid w:val="004C7D92"/>
    <w:rsid w:val="004C7EF6"/>
    <w:rsid w:val="004D174C"/>
    <w:rsid w:val="004D35F9"/>
    <w:rsid w:val="004D3747"/>
    <w:rsid w:val="004D4069"/>
    <w:rsid w:val="004D46F8"/>
    <w:rsid w:val="004D498A"/>
    <w:rsid w:val="004D4D8B"/>
    <w:rsid w:val="004D5716"/>
    <w:rsid w:val="004D74D5"/>
    <w:rsid w:val="004D799A"/>
    <w:rsid w:val="004D7F69"/>
    <w:rsid w:val="004D7F6F"/>
    <w:rsid w:val="004E088A"/>
    <w:rsid w:val="004E1D7F"/>
    <w:rsid w:val="004E20E5"/>
    <w:rsid w:val="004E21FA"/>
    <w:rsid w:val="004E2515"/>
    <w:rsid w:val="004E2C7F"/>
    <w:rsid w:val="004E37A9"/>
    <w:rsid w:val="004E3C65"/>
    <w:rsid w:val="004E40E0"/>
    <w:rsid w:val="004E4388"/>
    <w:rsid w:val="004E4E14"/>
    <w:rsid w:val="004E5148"/>
    <w:rsid w:val="004E5676"/>
    <w:rsid w:val="004E66EB"/>
    <w:rsid w:val="004E6A8F"/>
    <w:rsid w:val="004E6BB8"/>
    <w:rsid w:val="004E7170"/>
    <w:rsid w:val="004E76FB"/>
    <w:rsid w:val="004F14AE"/>
    <w:rsid w:val="004F1987"/>
    <w:rsid w:val="004F22EF"/>
    <w:rsid w:val="004F26B2"/>
    <w:rsid w:val="004F27E2"/>
    <w:rsid w:val="004F2A9F"/>
    <w:rsid w:val="004F3968"/>
    <w:rsid w:val="004F40A0"/>
    <w:rsid w:val="004F4FD5"/>
    <w:rsid w:val="004F6AFD"/>
    <w:rsid w:val="004F7316"/>
    <w:rsid w:val="004F78ED"/>
    <w:rsid w:val="004F7E97"/>
    <w:rsid w:val="005041AB"/>
    <w:rsid w:val="0050458D"/>
    <w:rsid w:val="005051C1"/>
    <w:rsid w:val="0050539C"/>
    <w:rsid w:val="00505688"/>
    <w:rsid w:val="005075F0"/>
    <w:rsid w:val="00507812"/>
    <w:rsid w:val="00507D5D"/>
    <w:rsid w:val="00511744"/>
    <w:rsid w:val="00513252"/>
    <w:rsid w:val="00513495"/>
    <w:rsid w:val="00513745"/>
    <w:rsid w:val="00514489"/>
    <w:rsid w:val="00514E4A"/>
    <w:rsid w:val="00515132"/>
    <w:rsid w:val="00515693"/>
    <w:rsid w:val="00516EF5"/>
    <w:rsid w:val="005172CE"/>
    <w:rsid w:val="005201A7"/>
    <w:rsid w:val="00520CA1"/>
    <w:rsid w:val="005223F2"/>
    <w:rsid w:val="00522C0E"/>
    <w:rsid w:val="00522CD0"/>
    <w:rsid w:val="00524A88"/>
    <w:rsid w:val="00525655"/>
    <w:rsid w:val="00525669"/>
    <w:rsid w:val="00525D54"/>
    <w:rsid w:val="00526331"/>
    <w:rsid w:val="005267B8"/>
    <w:rsid w:val="00527986"/>
    <w:rsid w:val="005300B4"/>
    <w:rsid w:val="00530106"/>
    <w:rsid w:val="005305C1"/>
    <w:rsid w:val="00530AED"/>
    <w:rsid w:val="00532348"/>
    <w:rsid w:val="0053270D"/>
    <w:rsid w:val="00534563"/>
    <w:rsid w:val="00534F58"/>
    <w:rsid w:val="005356E0"/>
    <w:rsid w:val="00535C8E"/>
    <w:rsid w:val="005369B2"/>
    <w:rsid w:val="00536F59"/>
    <w:rsid w:val="0053754C"/>
    <w:rsid w:val="005379F4"/>
    <w:rsid w:val="00541629"/>
    <w:rsid w:val="00541634"/>
    <w:rsid w:val="0054211F"/>
    <w:rsid w:val="00542338"/>
    <w:rsid w:val="0054246F"/>
    <w:rsid w:val="00543C36"/>
    <w:rsid w:val="00544396"/>
    <w:rsid w:val="0054580F"/>
    <w:rsid w:val="00545861"/>
    <w:rsid w:val="00545B6B"/>
    <w:rsid w:val="00546837"/>
    <w:rsid w:val="005525DD"/>
    <w:rsid w:val="00552702"/>
    <w:rsid w:val="00553F17"/>
    <w:rsid w:val="00553F6F"/>
    <w:rsid w:val="005543C0"/>
    <w:rsid w:val="005546C6"/>
    <w:rsid w:val="00554881"/>
    <w:rsid w:val="00560460"/>
    <w:rsid w:val="00561192"/>
    <w:rsid w:val="00562033"/>
    <w:rsid w:val="0056464E"/>
    <w:rsid w:val="0056479E"/>
    <w:rsid w:val="005650E2"/>
    <w:rsid w:val="0056583F"/>
    <w:rsid w:val="00570E41"/>
    <w:rsid w:val="0057165A"/>
    <w:rsid w:val="00571A8D"/>
    <w:rsid w:val="00571A8F"/>
    <w:rsid w:val="00572F5F"/>
    <w:rsid w:val="00573C4D"/>
    <w:rsid w:val="00574101"/>
    <w:rsid w:val="00574695"/>
    <w:rsid w:val="0057496E"/>
    <w:rsid w:val="00575025"/>
    <w:rsid w:val="00575185"/>
    <w:rsid w:val="00575362"/>
    <w:rsid w:val="005756A6"/>
    <w:rsid w:val="00575708"/>
    <w:rsid w:val="00575A5D"/>
    <w:rsid w:val="0057632D"/>
    <w:rsid w:val="005763BE"/>
    <w:rsid w:val="005779E5"/>
    <w:rsid w:val="00580A13"/>
    <w:rsid w:val="00580D42"/>
    <w:rsid w:val="0058300A"/>
    <w:rsid w:val="00583D7A"/>
    <w:rsid w:val="005846DD"/>
    <w:rsid w:val="00585CE9"/>
    <w:rsid w:val="00587175"/>
    <w:rsid w:val="00587632"/>
    <w:rsid w:val="005878C8"/>
    <w:rsid w:val="00587A80"/>
    <w:rsid w:val="005903E2"/>
    <w:rsid w:val="00590A97"/>
    <w:rsid w:val="005910AE"/>
    <w:rsid w:val="00592277"/>
    <w:rsid w:val="00592B2E"/>
    <w:rsid w:val="0059314B"/>
    <w:rsid w:val="00593EEA"/>
    <w:rsid w:val="00593FDB"/>
    <w:rsid w:val="00594760"/>
    <w:rsid w:val="005958D0"/>
    <w:rsid w:val="00596F4D"/>
    <w:rsid w:val="00597CCD"/>
    <w:rsid w:val="005A0462"/>
    <w:rsid w:val="005A04E9"/>
    <w:rsid w:val="005A0B49"/>
    <w:rsid w:val="005A0E60"/>
    <w:rsid w:val="005A1C2A"/>
    <w:rsid w:val="005A1CA1"/>
    <w:rsid w:val="005A3F02"/>
    <w:rsid w:val="005A4A90"/>
    <w:rsid w:val="005A5BFA"/>
    <w:rsid w:val="005A5E9C"/>
    <w:rsid w:val="005A7745"/>
    <w:rsid w:val="005B1240"/>
    <w:rsid w:val="005B13F7"/>
    <w:rsid w:val="005B1466"/>
    <w:rsid w:val="005B1CAE"/>
    <w:rsid w:val="005B2552"/>
    <w:rsid w:val="005B2DFF"/>
    <w:rsid w:val="005B326E"/>
    <w:rsid w:val="005B4E65"/>
    <w:rsid w:val="005B5FA2"/>
    <w:rsid w:val="005B679B"/>
    <w:rsid w:val="005B77BB"/>
    <w:rsid w:val="005C0043"/>
    <w:rsid w:val="005C0B68"/>
    <w:rsid w:val="005C42A2"/>
    <w:rsid w:val="005C4373"/>
    <w:rsid w:val="005C4CFE"/>
    <w:rsid w:val="005C68BC"/>
    <w:rsid w:val="005C6960"/>
    <w:rsid w:val="005C6F28"/>
    <w:rsid w:val="005C70F2"/>
    <w:rsid w:val="005D17B4"/>
    <w:rsid w:val="005D3E1E"/>
    <w:rsid w:val="005D425C"/>
    <w:rsid w:val="005D42A6"/>
    <w:rsid w:val="005D438D"/>
    <w:rsid w:val="005D58E5"/>
    <w:rsid w:val="005D59EF"/>
    <w:rsid w:val="005E059A"/>
    <w:rsid w:val="005E06E9"/>
    <w:rsid w:val="005E0A94"/>
    <w:rsid w:val="005E1639"/>
    <w:rsid w:val="005E1C51"/>
    <w:rsid w:val="005E3136"/>
    <w:rsid w:val="005E355D"/>
    <w:rsid w:val="005E547F"/>
    <w:rsid w:val="005E5669"/>
    <w:rsid w:val="005E602E"/>
    <w:rsid w:val="005E6CA6"/>
    <w:rsid w:val="005E7B0E"/>
    <w:rsid w:val="005F02E8"/>
    <w:rsid w:val="005F04D7"/>
    <w:rsid w:val="005F2A7D"/>
    <w:rsid w:val="005F3DB3"/>
    <w:rsid w:val="005F6984"/>
    <w:rsid w:val="005F6BD9"/>
    <w:rsid w:val="005F74A7"/>
    <w:rsid w:val="00600BEF"/>
    <w:rsid w:val="00602688"/>
    <w:rsid w:val="0060287C"/>
    <w:rsid w:val="006029E9"/>
    <w:rsid w:val="00602D77"/>
    <w:rsid w:val="0060385D"/>
    <w:rsid w:val="00603D68"/>
    <w:rsid w:val="00603E65"/>
    <w:rsid w:val="00604554"/>
    <w:rsid w:val="00604E41"/>
    <w:rsid w:val="0060517A"/>
    <w:rsid w:val="006064AB"/>
    <w:rsid w:val="006064E5"/>
    <w:rsid w:val="00606882"/>
    <w:rsid w:val="00607032"/>
    <w:rsid w:val="00607095"/>
    <w:rsid w:val="00607221"/>
    <w:rsid w:val="00610B44"/>
    <w:rsid w:val="00611FA5"/>
    <w:rsid w:val="006124BA"/>
    <w:rsid w:val="00612A14"/>
    <w:rsid w:val="00612BA7"/>
    <w:rsid w:val="00612C88"/>
    <w:rsid w:val="006131A9"/>
    <w:rsid w:val="00613BC8"/>
    <w:rsid w:val="00613D4B"/>
    <w:rsid w:val="00614845"/>
    <w:rsid w:val="00615A7D"/>
    <w:rsid w:val="00616C77"/>
    <w:rsid w:val="006174CE"/>
    <w:rsid w:val="00617D2D"/>
    <w:rsid w:val="00620154"/>
    <w:rsid w:val="006205E3"/>
    <w:rsid w:val="00620D12"/>
    <w:rsid w:val="0062122C"/>
    <w:rsid w:val="0062150F"/>
    <w:rsid w:val="00621EBA"/>
    <w:rsid w:val="0062241A"/>
    <w:rsid w:val="00622CC1"/>
    <w:rsid w:val="00624988"/>
    <w:rsid w:val="006263A0"/>
    <w:rsid w:val="0063026A"/>
    <w:rsid w:val="006304DF"/>
    <w:rsid w:val="00631F7C"/>
    <w:rsid w:val="006324BE"/>
    <w:rsid w:val="00632B94"/>
    <w:rsid w:val="00633F58"/>
    <w:rsid w:val="00635580"/>
    <w:rsid w:val="0063585C"/>
    <w:rsid w:val="00635987"/>
    <w:rsid w:val="0063611B"/>
    <w:rsid w:val="006418EE"/>
    <w:rsid w:val="006422EF"/>
    <w:rsid w:val="006426A1"/>
    <w:rsid w:val="00642BE1"/>
    <w:rsid w:val="00643687"/>
    <w:rsid w:val="00644425"/>
    <w:rsid w:val="006478C9"/>
    <w:rsid w:val="0064798F"/>
    <w:rsid w:val="006519A9"/>
    <w:rsid w:val="006520C5"/>
    <w:rsid w:val="00653C1C"/>
    <w:rsid w:val="0065477F"/>
    <w:rsid w:val="00654A09"/>
    <w:rsid w:val="0065586C"/>
    <w:rsid w:val="006569AF"/>
    <w:rsid w:val="00657DBE"/>
    <w:rsid w:val="00662BC1"/>
    <w:rsid w:val="00662C07"/>
    <w:rsid w:val="0066334F"/>
    <w:rsid w:val="00663965"/>
    <w:rsid w:val="0066531E"/>
    <w:rsid w:val="00666B9E"/>
    <w:rsid w:val="00671E0F"/>
    <w:rsid w:val="00672F17"/>
    <w:rsid w:val="00672FDC"/>
    <w:rsid w:val="00673520"/>
    <w:rsid w:val="0067374A"/>
    <w:rsid w:val="00673C1C"/>
    <w:rsid w:val="00674237"/>
    <w:rsid w:val="0067653E"/>
    <w:rsid w:val="00677EA8"/>
    <w:rsid w:val="006800FD"/>
    <w:rsid w:val="00680941"/>
    <w:rsid w:val="00680CE9"/>
    <w:rsid w:val="006820FF"/>
    <w:rsid w:val="00682FC1"/>
    <w:rsid w:val="006835F2"/>
    <w:rsid w:val="006838D4"/>
    <w:rsid w:val="006838D6"/>
    <w:rsid w:val="00683A3B"/>
    <w:rsid w:val="00683FFC"/>
    <w:rsid w:val="006853EF"/>
    <w:rsid w:val="006868A7"/>
    <w:rsid w:val="0068756D"/>
    <w:rsid w:val="0069024A"/>
    <w:rsid w:val="00690A10"/>
    <w:rsid w:val="006941CB"/>
    <w:rsid w:val="00694809"/>
    <w:rsid w:val="006948D5"/>
    <w:rsid w:val="00695A62"/>
    <w:rsid w:val="00696331"/>
    <w:rsid w:val="0069760D"/>
    <w:rsid w:val="00697BC4"/>
    <w:rsid w:val="006A1089"/>
    <w:rsid w:val="006A16F2"/>
    <w:rsid w:val="006A1BCD"/>
    <w:rsid w:val="006A3880"/>
    <w:rsid w:val="006A3BB8"/>
    <w:rsid w:val="006A43F2"/>
    <w:rsid w:val="006A480D"/>
    <w:rsid w:val="006A56BF"/>
    <w:rsid w:val="006A6653"/>
    <w:rsid w:val="006A67B1"/>
    <w:rsid w:val="006A6BA2"/>
    <w:rsid w:val="006A7C25"/>
    <w:rsid w:val="006B100D"/>
    <w:rsid w:val="006B1236"/>
    <w:rsid w:val="006B1447"/>
    <w:rsid w:val="006B14B4"/>
    <w:rsid w:val="006B2FD7"/>
    <w:rsid w:val="006B3024"/>
    <w:rsid w:val="006B30B7"/>
    <w:rsid w:val="006B37B7"/>
    <w:rsid w:val="006B6718"/>
    <w:rsid w:val="006B688E"/>
    <w:rsid w:val="006B787D"/>
    <w:rsid w:val="006C05EF"/>
    <w:rsid w:val="006C0C7B"/>
    <w:rsid w:val="006C10C4"/>
    <w:rsid w:val="006C168E"/>
    <w:rsid w:val="006C21FD"/>
    <w:rsid w:val="006C2B36"/>
    <w:rsid w:val="006C2E27"/>
    <w:rsid w:val="006C3320"/>
    <w:rsid w:val="006C389D"/>
    <w:rsid w:val="006C393D"/>
    <w:rsid w:val="006C40EA"/>
    <w:rsid w:val="006C456B"/>
    <w:rsid w:val="006C4981"/>
    <w:rsid w:val="006C655C"/>
    <w:rsid w:val="006D00AB"/>
    <w:rsid w:val="006D03FF"/>
    <w:rsid w:val="006D0475"/>
    <w:rsid w:val="006D1D65"/>
    <w:rsid w:val="006D2186"/>
    <w:rsid w:val="006D40DE"/>
    <w:rsid w:val="006D4404"/>
    <w:rsid w:val="006D47EA"/>
    <w:rsid w:val="006D488A"/>
    <w:rsid w:val="006D5C4C"/>
    <w:rsid w:val="006D5CA8"/>
    <w:rsid w:val="006D63DB"/>
    <w:rsid w:val="006D6B66"/>
    <w:rsid w:val="006D7EB6"/>
    <w:rsid w:val="006E182A"/>
    <w:rsid w:val="006E21E3"/>
    <w:rsid w:val="006E34F7"/>
    <w:rsid w:val="006E4A07"/>
    <w:rsid w:val="006E4D15"/>
    <w:rsid w:val="006E5A0C"/>
    <w:rsid w:val="006E5AF5"/>
    <w:rsid w:val="006E669F"/>
    <w:rsid w:val="006E793C"/>
    <w:rsid w:val="006E7AA6"/>
    <w:rsid w:val="006F0783"/>
    <w:rsid w:val="006F0817"/>
    <w:rsid w:val="006F2372"/>
    <w:rsid w:val="006F454B"/>
    <w:rsid w:val="006F47BC"/>
    <w:rsid w:val="006F548A"/>
    <w:rsid w:val="006F5872"/>
    <w:rsid w:val="006F5CC3"/>
    <w:rsid w:val="007003B0"/>
    <w:rsid w:val="007011F4"/>
    <w:rsid w:val="00701E8B"/>
    <w:rsid w:val="00702CCF"/>
    <w:rsid w:val="00703425"/>
    <w:rsid w:val="00703E5C"/>
    <w:rsid w:val="00703FC2"/>
    <w:rsid w:val="007055A9"/>
    <w:rsid w:val="00705AB9"/>
    <w:rsid w:val="00705B88"/>
    <w:rsid w:val="0071022E"/>
    <w:rsid w:val="0071029D"/>
    <w:rsid w:val="00711258"/>
    <w:rsid w:val="00712314"/>
    <w:rsid w:val="00713B9D"/>
    <w:rsid w:val="00713F54"/>
    <w:rsid w:val="00714094"/>
    <w:rsid w:val="0071590C"/>
    <w:rsid w:val="007214C7"/>
    <w:rsid w:val="00723071"/>
    <w:rsid w:val="007237E4"/>
    <w:rsid w:val="00723AE7"/>
    <w:rsid w:val="007242B6"/>
    <w:rsid w:val="007253BE"/>
    <w:rsid w:val="00725C87"/>
    <w:rsid w:val="00726D2F"/>
    <w:rsid w:val="0072762D"/>
    <w:rsid w:val="00727BB5"/>
    <w:rsid w:val="00730369"/>
    <w:rsid w:val="007311CF"/>
    <w:rsid w:val="00731202"/>
    <w:rsid w:val="007315CD"/>
    <w:rsid w:val="00731B17"/>
    <w:rsid w:val="00732611"/>
    <w:rsid w:val="00732F3E"/>
    <w:rsid w:val="00734514"/>
    <w:rsid w:val="007358AB"/>
    <w:rsid w:val="00737622"/>
    <w:rsid w:val="0074165F"/>
    <w:rsid w:val="00742C2C"/>
    <w:rsid w:val="00742E69"/>
    <w:rsid w:val="00743E54"/>
    <w:rsid w:val="00743FBA"/>
    <w:rsid w:val="0074402F"/>
    <w:rsid w:val="00745188"/>
    <w:rsid w:val="007463A0"/>
    <w:rsid w:val="007475E4"/>
    <w:rsid w:val="00747CC0"/>
    <w:rsid w:val="0075035D"/>
    <w:rsid w:val="00750558"/>
    <w:rsid w:val="00750AEE"/>
    <w:rsid w:val="00750D11"/>
    <w:rsid w:val="0075121A"/>
    <w:rsid w:val="007529DC"/>
    <w:rsid w:val="00753A7D"/>
    <w:rsid w:val="007543B6"/>
    <w:rsid w:val="00754BE9"/>
    <w:rsid w:val="00755AF2"/>
    <w:rsid w:val="00755B1A"/>
    <w:rsid w:val="00755CA1"/>
    <w:rsid w:val="0075685C"/>
    <w:rsid w:val="00764D02"/>
    <w:rsid w:val="00767FAC"/>
    <w:rsid w:val="007711E7"/>
    <w:rsid w:val="0077140D"/>
    <w:rsid w:val="00773191"/>
    <w:rsid w:val="0077340B"/>
    <w:rsid w:val="007738D3"/>
    <w:rsid w:val="007738FE"/>
    <w:rsid w:val="0077398D"/>
    <w:rsid w:val="00773DF2"/>
    <w:rsid w:val="00774090"/>
    <w:rsid w:val="00774807"/>
    <w:rsid w:val="00774D64"/>
    <w:rsid w:val="007760E0"/>
    <w:rsid w:val="007760F3"/>
    <w:rsid w:val="0077671D"/>
    <w:rsid w:val="00776F83"/>
    <w:rsid w:val="00777A8A"/>
    <w:rsid w:val="00777DC5"/>
    <w:rsid w:val="00780BBA"/>
    <w:rsid w:val="00780D81"/>
    <w:rsid w:val="00781801"/>
    <w:rsid w:val="0078224A"/>
    <w:rsid w:val="00782BD2"/>
    <w:rsid w:val="00784B6E"/>
    <w:rsid w:val="00784C88"/>
    <w:rsid w:val="007854FD"/>
    <w:rsid w:val="0078627E"/>
    <w:rsid w:val="00786396"/>
    <w:rsid w:val="00791B7B"/>
    <w:rsid w:val="00792F9D"/>
    <w:rsid w:val="00793249"/>
    <w:rsid w:val="0079345F"/>
    <w:rsid w:val="007939B4"/>
    <w:rsid w:val="00793CB8"/>
    <w:rsid w:val="00794F64"/>
    <w:rsid w:val="00795A79"/>
    <w:rsid w:val="00795E25"/>
    <w:rsid w:val="00796097"/>
    <w:rsid w:val="00796A8D"/>
    <w:rsid w:val="00797FF0"/>
    <w:rsid w:val="007A06F8"/>
    <w:rsid w:val="007A1711"/>
    <w:rsid w:val="007A229B"/>
    <w:rsid w:val="007A43A3"/>
    <w:rsid w:val="007A6A47"/>
    <w:rsid w:val="007B00E8"/>
    <w:rsid w:val="007B0CBD"/>
    <w:rsid w:val="007B11CE"/>
    <w:rsid w:val="007B25B4"/>
    <w:rsid w:val="007B2769"/>
    <w:rsid w:val="007B28A2"/>
    <w:rsid w:val="007B2D09"/>
    <w:rsid w:val="007B304A"/>
    <w:rsid w:val="007B39D0"/>
    <w:rsid w:val="007B3C9D"/>
    <w:rsid w:val="007B3F7D"/>
    <w:rsid w:val="007B5179"/>
    <w:rsid w:val="007B5945"/>
    <w:rsid w:val="007B6827"/>
    <w:rsid w:val="007B6FB3"/>
    <w:rsid w:val="007C01D8"/>
    <w:rsid w:val="007C0AD4"/>
    <w:rsid w:val="007C0C59"/>
    <w:rsid w:val="007C0E75"/>
    <w:rsid w:val="007C1D05"/>
    <w:rsid w:val="007C1EF6"/>
    <w:rsid w:val="007C2276"/>
    <w:rsid w:val="007C315E"/>
    <w:rsid w:val="007C3781"/>
    <w:rsid w:val="007C3CE9"/>
    <w:rsid w:val="007C4B99"/>
    <w:rsid w:val="007C643D"/>
    <w:rsid w:val="007C6658"/>
    <w:rsid w:val="007C667B"/>
    <w:rsid w:val="007C6C53"/>
    <w:rsid w:val="007C6E2E"/>
    <w:rsid w:val="007C6EC4"/>
    <w:rsid w:val="007C7659"/>
    <w:rsid w:val="007C76C5"/>
    <w:rsid w:val="007D011D"/>
    <w:rsid w:val="007D029E"/>
    <w:rsid w:val="007D07DC"/>
    <w:rsid w:val="007D2472"/>
    <w:rsid w:val="007D270A"/>
    <w:rsid w:val="007D2F53"/>
    <w:rsid w:val="007D3CD3"/>
    <w:rsid w:val="007D3DE6"/>
    <w:rsid w:val="007D545A"/>
    <w:rsid w:val="007D565F"/>
    <w:rsid w:val="007D56EF"/>
    <w:rsid w:val="007D6F58"/>
    <w:rsid w:val="007D720A"/>
    <w:rsid w:val="007E08CD"/>
    <w:rsid w:val="007E2C8E"/>
    <w:rsid w:val="007E3204"/>
    <w:rsid w:val="007E3217"/>
    <w:rsid w:val="007E4539"/>
    <w:rsid w:val="007E4672"/>
    <w:rsid w:val="007E5A6B"/>
    <w:rsid w:val="007E5F1A"/>
    <w:rsid w:val="007E6095"/>
    <w:rsid w:val="007E729C"/>
    <w:rsid w:val="007E7C0F"/>
    <w:rsid w:val="007F0A14"/>
    <w:rsid w:val="007F1FD9"/>
    <w:rsid w:val="007F2633"/>
    <w:rsid w:val="007F2B7C"/>
    <w:rsid w:val="007F2FD5"/>
    <w:rsid w:val="007F4A1F"/>
    <w:rsid w:val="007F5098"/>
    <w:rsid w:val="007F5190"/>
    <w:rsid w:val="007F5CEB"/>
    <w:rsid w:val="007F6361"/>
    <w:rsid w:val="007F65D6"/>
    <w:rsid w:val="007F7517"/>
    <w:rsid w:val="007F7E3B"/>
    <w:rsid w:val="00800365"/>
    <w:rsid w:val="008007E2"/>
    <w:rsid w:val="00800AFD"/>
    <w:rsid w:val="008016FB"/>
    <w:rsid w:val="008037A0"/>
    <w:rsid w:val="008061EE"/>
    <w:rsid w:val="008062F6"/>
    <w:rsid w:val="00806303"/>
    <w:rsid w:val="00806800"/>
    <w:rsid w:val="008072A6"/>
    <w:rsid w:val="008072F4"/>
    <w:rsid w:val="00807EAD"/>
    <w:rsid w:val="0081017A"/>
    <w:rsid w:val="00811F37"/>
    <w:rsid w:val="00812695"/>
    <w:rsid w:val="00814ADB"/>
    <w:rsid w:val="008157AE"/>
    <w:rsid w:val="00815D5D"/>
    <w:rsid w:val="008165C8"/>
    <w:rsid w:val="0081681C"/>
    <w:rsid w:val="00817E68"/>
    <w:rsid w:val="0082091E"/>
    <w:rsid w:val="008212A2"/>
    <w:rsid w:val="00821E3B"/>
    <w:rsid w:val="008221CC"/>
    <w:rsid w:val="008225F0"/>
    <w:rsid w:val="008245A6"/>
    <w:rsid w:val="00825F65"/>
    <w:rsid w:val="00826F36"/>
    <w:rsid w:val="00832526"/>
    <w:rsid w:val="00833658"/>
    <w:rsid w:val="0083495F"/>
    <w:rsid w:val="00834995"/>
    <w:rsid w:val="0083519E"/>
    <w:rsid w:val="0083614A"/>
    <w:rsid w:val="008366B7"/>
    <w:rsid w:val="00836EF4"/>
    <w:rsid w:val="00837CFB"/>
    <w:rsid w:val="008409F9"/>
    <w:rsid w:val="00841227"/>
    <w:rsid w:val="00842A8F"/>
    <w:rsid w:val="0084345C"/>
    <w:rsid w:val="00845080"/>
    <w:rsid w:val="00846AF8"/>
    <w:rsid w:val="00847FCC"/>
    <w:rsid w:val="0085018A"/>
    <w:rsid w:val="00850EF9"/>
    <w:rsid w:val="008527F8"/>
    <w:rsid w:val="008529B0"/>
    <w:rsid w:val="00853613"/>
    <w:rsid w:val="00854415"/>
    <w:rsid w:val="00854721"/>
    <w:rsid w:val="008570DA"/>
    <w:rsid w:val="0085729C"/>
    <w:rsid w:val="00860719"/>
    <w:rsid w:val="00860DAA"/>
    <w:rsid w:val="00862027"/>
    <w:rsid w:val="008625AF"/>
    <w:rsid w:val="00862A2E"/>
    <w:rsid w:val="00863722"/>
    <w:rsid w:val="00864F2B"/>
    <w:rsid w:val="008654C5"/>
    <w:rsid w:val="008654E5"/>
    <w:rsid w:val="008670D4"/>
    <w:rsid w:val="00870F0F"/>
    <w:rsid w:val="00870F2F"/>
    <w:rsid w:val="00874919"/>
    <w:rsid w:val="00874FE8"/>
    <w:rsid w:val="00875AAE"/>
    <w:rsid w:val="00875D5C"/>
    <w:rsid w:val="00877603"/>
    <w:rsid w:val="00880271"/>
    <w:rsid w:val="00880942"/>
    <w:rsid w:val="00880D90"/>
    <w:rsid w:val="0088280E"/>
    <w:rsid w:val="008832A6"/>
    <w:rsid w:val="0088365A"/>
    <w:rsid w:val="008851F3"/>
    <w:rsid w:val="0088567C"/>
    <w:rsid w:val="008874A9"/>
    <w:rsid w:val="008874EA"/>
    <w:rsid w:val="00887AD2"/>
    <w:rsid w:val="00890368"/>
    <w:rsid w:val="00891593"/>
    <w:rsid w:val="00891594"/>
    <w:rsid w:val="00892754"/>
    <w:rsid w:val="0089455F"/>
    <w:rsid w:val="008947C1"/>
    <w:rsid w:val="00895BBD"/>
    <w:rsid w:val="00896985"/>
    <w:rsid w:val="00897771"/>
    <w:rsid w:val="00897801"/>
    <w:rsid w:val="008A1107"/>
    <w:rsid w:val="008A23CE"/>
    <w:rsid w:val="008A3912"/>
    <w:rsid w:val="008A39BE"/>
    <w:rsid w:val="008A3F2A"/>
    <w:rsid w:val="008A424D"/>
    <w:rsid w:val="008A43F7"/>
    <w:rsid w:val="008A511C"/>
    <w:rsid w:val="008A52DE"/>
    <w:rsid w:val="008A55CD"/>
    <w:rsid w:val="008A560E"/>
    <w:rsid w:val="008A6B2C"/>
    <w:rsid w:val="008A7579"/>
    <w:rsid w:val="008B0005"/>
    <w:rsid w:val="008B0746"/>
    <w:rsid w:val="008B094D"/>
    <w:rsid w:val="008B0FCA"/>
    <w:rsid w:val="008B1576"/>
    <w:rsid w:val="008B1CBD"/>
    <w:rsid w:val="008B24B4"/>
    <w:rsid w:val="008B26F1"/>
    <w:rsid w:val="008B32D2"/>
    <w:rsid w:val="008B4DA7"/>
    <w:rsid w:val="008B511F"/>
    <w:rsid w:val="008B5509"/>
    <w:rsid w:val="008B5613"/>
    <w:rsid w:val="008B6887"/>
    <w:rsid w:val="008B6E67"/>
    <w:rsid w:val="008B7B5C"/>
    <w:rsid w:val="008C06EC"/>
    <w:rsid w:val="008C0B40"/>
    <w:rsid w:val="008C1216"/>
    <w:rsid w:val="008C195B"/>
    <w:rsid w:val="008C260B"/>
    <w:rsid w:val="008C2889"/>
    <w:rsid w:val="008C3292"/>
    <w:rsid w:val="008C5C42"/>
    <w:rsid w:val="008C6747"/>
    <w:rsid w:val="008C6863"/>
    <w:rsid w:val="008D0615"/>
    <w:rsid w:val="008D1EBD"/>
    <w:rsid w:val="008D332F"/>
    <w:rsid w:val="008D4636"/>
    <w:rsid w:val="008D4E01"/>
    <w:rsid w:val="008D542E"/>
    <w:rsid w:val="008D572E"/>
    <w:rsid w:val="008D5841"/>
    <w:rsid w:val="008D63C0"/>
    <w:rsid w:val="008D77D8"/>
    <w:rsid w:val="008D789D"/>
    <w:rsid w:val="008E007F"/>
    <w:rsid w:val="008E09B8"/>
    <w:rsid w:val="008E2B71"/>
    <w:rsid w:val="008E31AC"/>
    <w:rsid w:val="008E3D7C"/>
    <w:rsid w:val="008E41BD"/>
    <w:rsid w:val="008E450F"/>
    <w:rsid w:val="008E4F9A"/>
    <w:rsid w:val="008E6EB7"/>
    <w:rsid w:val="008F023B"/>
    <w:rsid w:val="008F1A0B"/>
    <w:rsid w:val="008F1D52"/>
    <w:rsid w:val="008F266F"/>
    <w:rsid w:val="008F30EC"/>
    <w:rsid w:val="008F370C"/>
    <w:rsid w:val="008F38AB"/>
    <w:rsid w:val="008F4B59"/>
    <w:rsid w:val="008F5082"/>
    <w:rsid w:val="008F58BA"/>
    <w:rsid w:val="008F5FFD"/>
    <w:rsid w:val="008F6290"/>
    <w:rsid w:val="008F6695"/>
    <w:rsid w:val="00902750"/>
    <w:rsid w:val="00902E44"/>
    <w:rsid w:val="009031EA"/>
    <w:rsid w:val="00903D79"/>
    <w:rsid w:val="009077C7"/>
    <w:rsid w:val="00910BC8"/>
    <w:rsid w:val="00911754"/>
    <w:rsid w:val="00911D5C"/>
    <w:rsid w:val="009128DE"/>
    <w:rsid w:val="00912D4D"/>
    <w:rsid w:val="009132EC"/>
    <w:rsid w:val="00914D77"/>
    <w:rsid w:val="00915488"/>
    <w:rsid w:val="009179E8"/>
    <w:rsid w:val="00917FDD"/>
    <w:rsid w:val="009206B0"/>
    <w:rsid w:val="00921292"/>
    <w:rsid w:val="00925B58"/>
    <w:rsid w:val="00925F51"/>
    <w:rsid w:val="00925FC1"/>
    <w:rsid w:val="00926CEA"/>
    <w:rsid w:val="00927B1C"/>
    <w:rsid w:val="00927E20"/>
    <w:rsid w:val="00930C14"/>
    <w:rsid w:val="00931DF8"/>
    <w:rsid w:val="009322B9"/>
    <w:rsid w:val="00932431"/>
    <w:rsid w:val="00933212"/>
    <w:rsid w:val="009344D3"/>
    <w:rsid w:val="00937667"/>
    <w:rsid w:val="009379F0"/>
    <w:rsid w:val="00940590"/>
    <w:rsid w:val="00940B8E"/>
    <w:rsid w:val="00940D39"/>
    <w:rsid w:val="00940DEB"/>
    <w:rsid w:val="009414AD"/>
    <w:rsid w:val="009417BB"/>
    <w:rsid w:val="0094318C"/>
    <w:rsid w:val="009442E8"/>
    <w:rsid w:val="009444DA"/>
    <w:rsid w:val="009450D9"/>
    <w:rsid w:val="00945749"/>
    <w:rsid w:val="0094684D"/>
    <w:rsid w:val="00946CD7"/>
    <w:rsid w:val="00947206"/>
    <w:rsid w:val="009475AB"/>
    <w:rsid w:val="00950832"/>
    <w:rsid w:val="00952B6B"/>
    <w:rsid w:val="0095362E"/>
    <w:rsid w:val="009539D1"/>
    <w:rsid w:val="0095482B"/>
    <w:rsid w:val="00955A54"/>
    <w:rsid w:val="00955AAF"/>
    <w:rsid w:val="00956F31"/>
    <w:rsid w:val="00961317"/>
    <w:rsid w:val="00961EFA"/>
    <w:rsid w:val="00963EE7"/>
    <w:rsid w:val="00965FDF"/>
    <w:rsid w:val="00967B2B"/>
    <w:rsid w:val="00970879"/>
    <w:rsid w:val="00970E35"/>
    <w:rsid w:val="00971292"/>
    <w:rsid w:val="00971562"/>
    <w:rsid w:val="00971A94"/>
    <w:rsid w:val="009723CC"/>
    <w:rsid w:val="00972F98"/>
    <w:rsid w:val="00973D78"/>
    <w:rsid w:val="0097553B"/>
    <w:rsid w:val="009760D1"/>
    <w:rsid w:val="00977EDB"/>
    <w:rsid w:val="00980C3D"/>
    <w:rsid w:val="00981761"/>
    <w:rsid w:val="0098179A"/>
    <w:rsid w:val="00982D5E"/>
    <w:rsid w:val="00983C77"/>
    <w:rsid w:val="00983E64"/>
    <w:rsid w:val="0098425E"/>
    <w:rsid w:val="00987C99"/>
    <w:rsid w:val="00990270"/>
    <w:rsid w:val="009902C0"/>
    <w:rsid w:val="0099094B"/>
    <w:rsid w:val="009912A7"/>
    <w:rsid w:val="00992842"/>
    <w:rsid w:val="0099392C"/>
    <w:rsid w:val="00993DCB"/>
    <w:rsid w:val="0099525C"/>
    <w:rsid w:val="009955F6"/>
    <w:rsid w:val="00996E89"/>
    <w:rsid w:val="00997361"/>
    <w:rsid w:val="009A048D"/>
    <w:rsid w:val="009A1CD5"/>
    <w:rsid w:val="009A1CDF"/>
    <w:rsid w:val="009A21AB"/>
    <w:rsid w:val="009A2628"/>
    <w:rsid w:val="009A2EFA"/>
    <w:rsid w:val="009A3496"/>
    <w:rsid w:val="009A3960"/>
    <w:rsid w:val="009A45A3"/>
    <w:rsid w:val="009A496E"/>
    <w:rsid w:val="009A588F"/>
    <w:rsid w:val="009A5A93"/>
    <w:rsid w:val="009A63A4"/>
    <w:rsid w:val="009A6B6C"/>
    <w:rsid w:val="009A6B93"/>
    <w:rsid w:val="009A728A"/>
    <w:rsid w:val="009A7CBC"/>
    <w:rsid w:val="009B0D43"/>
    <w:rsid w:val="009B1359"/>
    <w:rsid w:val="009B1DA7"/>
    <w:rsid w:val="009B2B9D"/>
    <w:rsid w:val="009B41E9"/>
    <w:rsid w:val="009B59AA"/>
    <w:rsid w:val="009B60FF"/>
    <w:rsid w:val="009B717E"/>
    <w:rsid w:val="009B7B88"/>
    <w:rsid w:val="009B7C41"/>
    <w:rsid w:val="009C13CA"/>
    <w:rsid w:val="009C23B3"/>
    <w:rsid w:val="009C3A1B"/>
    <w:rsid w:val="009C3A2F"/>
    <w:rsid w:val="009C4919"/>
    <w:rsid w:val="009C673D"/>
    <w:rsid w:val="009C68C8"/>
    <w:rsid w:val="009C6CC8"/>
    <w:rsid w:val="009C6FA7"/>
    <w:rsid w:val="009C76D2"/>
    <w:rsid w:val="009C7CBC"/>
    <w:rsid w:val="009D1876"/>
    <w:rsid w:val="009D19D5"/>
    <w:rsid w:val="009D2BD1"/>
    <w:rsid w:val="009D2EFA"/>
    <w:rsid w:val="009D36DA"/>
    <w:rsid w:val="009D51B1"/>
    <w:rsid w:val="009D694D"/>
    <w:rsid w:val="009D6FC3"/>
    <w:rsid w:val="009D7268"/>
    <w:rsid w:val="009D75B3"/>
    <w:rsid w:val="009E0BE9"/>
    <w:rsid w:val="009E132F"/>
    <w:rsid w:val="009E1428"/>
    <w:rsid w:val="009E1EF7"/>
    <w:rsid w:val="009E27BE"/>
    <w:rsid w:val="009E2D51"/>
    <w:rsid w:val="009E2F57"/>
    <w:rsid w:val="009E2F6B"/>
    <w:rsid w:val="009E31F7"/>
    <w:rsid w:val="009E41DA"/>
    <w:rsid w:val="009E51F9"/>
    <w:rsid w:val="009E5718"/>
    <w:rsid w:val="009E661E"/>
    <w:rsid w:val="009E6E3D"/>
    <w:rsid w:val="009E756D"/>
    <w:rsid w:val="009E7FDF"/>
    <w:rsid w:val="009F17EC"/>
    <w:rsid w:val="009F266E"/>
    <w:rsid w:val="009F3385"/>
    <w:rsid w:val="009F450A"/>
    <w:rsid w:val="009F50CF"/>
    <w:rsid w:val="009F5A2A"/>
    <w:rsid w:val="009F661D"/>
    <w:rsid w:val="009F67F1"/>
    <w:rsid w:val="009F740E"/>
    <w:rsid w:val="009F79F2"/>
    <w:rsid w:val="009F7EDC"/>
    <w:rsid w:val="00A00139"/>
    <w:rsid w:val="00A00753"/>
    <w:rsid w:val="00A00759"/>
    <w:rsid w:val="00A013F4"/>
    <w:rsid w:val="00A01A86"/>
    <w:rsid w:val="00A02349"/>
    <w:rsid w:val="00A024A9"/>
    <w:rsid w:val="00A029EB"/>
    <w:rsid w:val="00A035A0"/>
    <w:rsid w:val="00A0418B"/>
    <w:rsid w:val="00A06E12"/>
    <w:rsid w:val="00A07E35"/>
    <w:rsid w:val="00A11FA5"/>
    <w:rsid w:val="00A12ABC"/>
    <w:rsid w:val="00A12C35"/>
    <w:rsid w:val="00A14F47"/>
    <w:rsid w:val="00A152BD"/>
    <w:rsid w:val="00A15515"/>
    <w:rsid w:val="00A16476"/>
    <w:rsid w:val="00A16E73"/>
    <w:rsid w:val="00A17E25"/>
    <w:rsid w:val="00A20BC0"/>
    <w:rsid w:val="00A218AF"/>
    <w:rsid w:val="00A22408"/>
    <w:rsid w:val="00A2259B"/>
    <w:rsid w:val="00A22BB9"/>
    <w:rsid w:val="00A22E91"/>
    <w:rsid w:val="00A239E8"/>
    <w:rsid w:val="00A23B3F"/>
    <w:rsid w:val="00A23DC6"/>
    <w:rsid w:val="00A24E09"/>
    <w:rsid w:val="00A2520F"/>
    <w:rsid w:val="00A2545F"/>
    <w:rsid w:val="00A25933"/>
    <w:rsid w:val="00A26100"/>
    <w:rsid w:val="00A27764"/>
    <w:rsid w:val="00A27DFC"/>
    <w:rsid w:val="00A27FAD"/>
    <w:rsid w:val="00A30768"/>
    <w:rsid w:val="00A30AF7"/>
    <w:rsid w:val="00A31D8B"/>
    <w:rsid w:val="00A32F7B"/>
    <w:rsid w:val="00A32FD6"/>
    <w:rsid w:val="00A3320A"/>
    <w:rsid w:val="00A33593"/>
    <w:rsid w:val="00A33C05"/>
    <w:rsid w:val="00A356E9"/>
    <w:rsid w:val="00A37BB9"/>
    <w:rsid w:val="00A40385"/>
    <w:rsid w:val="00A4064A"/>
    <w:rsid w:val="00A414C4"/>
    <w:rsid w:val="00A41FD6"/>
    <w:rsid w:val="00A42491"/>
    <w:rsid w:val="00A42D57"/>
    <w:rsid w:val="00A43340"/>
    <w:rsid w:val="00A43B68"/>
    <w:rsid w:val="00A43DB2"/>
    <w:rsid w:val="00A44396"/>
    <w:rsid w:val="00A45309"/>
    <w:rsid w:val="00A473BB"/>
    <w:rsid w:val="00A474BB"/>
    <w:rsid w:val="00A47B75"/>
    <w:rsid w:val="00A501EC"/>
    <w:rsid w:val="00A51A7D"/>
    <w:rsid w:val="00A52222"/>
    <w:rsid w:val="00A52B7A"/>
    <w:rsid w:val="00A53883"/>
    <w:rsid w:val="00A53E1D"/>
    <w:rsid w:val="00A54B80"/>
    <w:rsid w:val="00A54FED"/>
    <w:rsid w:val="00A5663D"/>
    <w:rsid w:val="00A56B53"/>
    <w:rsid w:val="00A56B85"/>
    <w:rsid w:val="00A60DAD"/>
    <w:rsid w:val="00A6325E"/>
    <w:rsid w:val="00A63298"/>
    <w:rsid w:val="00A65950"/>
    <w:rsid w:val="00A6702B"/>
    <w:rsid w:val="00A732F8"/>
    <w:rsid w:val="00A748B0"/>
    <w:rsid w:val="00A7654E"/>
    <w:rsid w:val="00A76A91"/>
    <w:rsid w:val="00A76E1C"/>
    <w:rsid w:val="00A77E3C"/>
    <w:rsid w:val="00A806C8"/>
    <w:rsid w:val="00A80E00"/>
    <w:rsid w:val="00A814BA"/>
    <w:rsid w:val="00A822B8"/>
    <w:rsid w:val="00A82C9F"/>
    <w:rsid w:val="00A84354"/>
    <w:rsid w:val="00A84923"/>
    <w:rsid w:val="00A84F36"/>
    <w:rsid w:val="00A85326"/>
    <w:rsid w:val="00A8596B"/>
    <w:rsid w:val="00A86BAA"/>
    <w:rsid w:val="00A8756C"/>
    <w:rsid w:val="00A87F82"/>
    <w:rsid w:val="00A91669"/>
    <w:rsid w:val="00A94F17"/>
    <w:rsid w:val="00A96903"/>
    <w:rsid w:val="00A975C3"/>
    <w:rsid w:val="00AA00F9"/>
    <w:rsid w:val="00AA02CE"/>
    <w:rsid w:val="00AA0310"/>
    <w:rsid w:val="00AA0579"/>
    <w:rsid w:val="00AA0C8F"/>
    <w:rsid w:val="00AA1273"/>
    <w:rsid w:val="00AA1C2F"/>
    <w:rsid w:val="00AA2056"/>
    <w:rsid w:val="00AA23D8"/>
    <w:rsid w:val="00AA2F13"/>
    <w:rsid w:val="00AA30CE"/>
    <w:rsid w:val="00AA5253"/>
    <w:rsid w:val="00AA587F"/>
    <w:rsid w:val="00AA5E80"/>
    <w:rsid w:val="00AA6C6C"/>
    <w:rsid w:val="00AA7CE0"/>
    <w:rsid w:val="00AB15D2"/>
    <w:rsid w:val="00AB1B8A"/>
    <w:rsid w:val="00AB2ED8"/>
    <w:rsid w:val="00AB376C"/>
    <w:rsid w:val="00AB3882"/>
    <w:rsid w:val="00AB76A9"/>
    <w:rsid w:val="00AC149B"/>
    <w:rsid w:val="00AC252D"/>
    <w:rsid w:val="00AC418C"/>
    <w:rsid w:val="00AC4BF8"/>
    <w:rsid w:val="00AC5E60"/>
    <w:rsid w:val="00AC6AAC"/>
    <w:rsid w:val="00AD0BD4"/>
    <w:rsid w:val="00AD1427"/>
    <w:rsid w:val="00AD26EF"/>
    <w:rsid w:val="00AD3740"/>
    <w:rsid w:val="00AD458B"/>
    <w:rsid w:val="00AD5126"/>
    <w:rsid w:val="00AD5AB0"/>
    <w:rsid w:val="00AD62A3"/>
    <w:rsid w:val="00AD66B3"/>
    <w:rsid w:val="00AD7F56"/>
    <w:rsid w:val="00AD7F60"/>
    <w:rsid w:val="00AE0950"/>
    <w:rsid w:val="00AE2789"/>
    <w:rsid w:val="00AE2B5E"/>
    <w:rsid w:val="00AE2FC8"/>
    <w:rsid w:val="00AE3877"/>
    <w:rsid w:val="00AE4151"/>
    <w:rsid w:val="00AE611E"/>
    <w:rsid w:val="00AE6A90"/>
    <w:rsid w:val="00AE6B86"/>
    <w:rsid w:val="00AE6B89"/>
    <w:rsid w:val="00AE7D9D"/>
    <w:rsid w:val="00AE7EAC"/>
    <w:rsid w:val="00AF1104"/>
    <w:rsid w:val="00AF1B30"/>
    <w:rsid w:val="00AF2689"/>
    <w:rsid w:val="00AF3270"/>
    <w:rsid w:val="00AF38C8"/>
    <w:rsid w:val="00AF43A2"/>
    <w:rsid w:val="00AF4647"/>
    <w:rsid w:val="00AF46D0"/>
    <w:rsid w:val="00AF46DB"/>
    <w:rsid w:val="00AF47FD"/>
    <w:rsid w:val="00AF6D8E"/>
    <w:rsid w:val="00AF7B29"/>
    <w:rsid w:val="00B00AF9"/>
    <w:rsid w:val="00B01406"/>
    <w:rsid w:val="00B02992"/>
    <w:rsid w:val="00B02A32"/>
    <w:rsid w:val="00B04535"/>
    <w:rsid w:val="00B04EE8"/>
    <w:rsid w:val="00B0601E"/>
    <w:rsid w:val="00B065AF"/>
    <w:rsid w:val="00B07395"/>
    <w:rsid w:val="00B0796C"/>
    <w:rsid w:val="00B10A06"/>
    <w:rsid w:val="00B11A11"/>
    <w:rsid w:val="00B12511"/>
    <w:rsid w:val="00B13645"/>
    <w:rsid w:val="00B14B89"/>
    <w:rsid w:val="00B16572"/>
    <w:rsid w:val="00B172A9"/>
    <w:rsid w:val="00B20D22"/>
    <w:rsid w:val="00B20E56"/>
    <w:rsid w:val="00B21173"/>
    <w:rsid w:val="00B211DE"/>
    <w:rsid w:val="00B217F3"/>
    <w:rsid w:val="00B21AB7"/>
    <w:rsid w:val="00B21BC2"/>
    <w:rsid w:val="00B21F3A"/>
    <w:rsid w:val="00B22124"/>
    <w:rsid w:val="00B223AE"/>
    <w:rsid w:val="00B23AC9"/>
    <w:rsid w:val="00B2504B"/>
    <w:rsid w:val="00B26A5C"/>
    <w:rsid w:val="00B274EF"/>
    <w:rsid w:val="00B27597"/>
    <w:rsid w:val="00B314B4"/>
    <w:rsid w:val="00B3203C"/>
    <w:rsid w:val="00B32C81"/>
    <w:rsid w:val="00B33B83"/>
    <w:rsid w:val="00B346AE"/>
    <w:rsid w:val="00B34826"/>
    <w:rsid w:val="00B35D7C"/>
    <w:rsid w:val="00B36059"/>
    <w:rsid w:val="00B36D7D"/>
    <w:rsid w:val="00B40462"/>
    <w:rsid w:val="00B40645"/>
    <w:rsid w:val="00B40A61"/>
    <w:rsid w:val="00B41513"/>
    <w:rsid w:val="00B441D7"/>
    <w:rsid w:val="00B4532E"/>
    <w:rsid w:val="00B454B3"/>
    <w:rsid w:val="00B4605C"/>
    <w:rsid w:val="00B469CC"/>
    <w:rsid w:val="00B50288"/>
    <w:rsid w:val="00B50761"/>
    <w:rsid w:val="00B51998"/>
    <w:rsid w:val="00B51C6A"/>
    <w:rsid w:val="00B538FD"/>
    <w:rsid w:val="00B53B3A"/>
    <w:rsid w:val="00B563D6"/>
    <w:rsid w:val="00B56945"/>
    <w:rsid w:val="00B5698C"/>
    <w:rsid w:val="00B56D61"/>
    <w:rsid w:val="00B60821"/>
    <w:rsid w:val="00B608ED"/>
    <w:rsid w:val="00B6110E"/>
    <w:rsid w:val="00B617D2"/>
    <w:rsid w:val="00B61F09"/>
    <w:rsid w:val="00B62B8E"/>
    <w:rsid w:val="00B648E3"/>
    <w:rsid w:val="00B65568"/>
    <w:rsid w:val="00B65954"/>
    <w:rsid w:val="00B65C06"/>
    <w:rsid w:val="00B667C6"/>
    <w:rsid w:val="00B66DC6"/>
    <w:rsid w:val="00B66E51"/>
    <w:rsid w:val="00B6792F"/>
    <w:rsid w:val="00B70BD4"/>
    <w:rsid w:val="00B71C22"/>
    <w:rsid w:val="00B7249D"/>
    <w:rsid w:val="00B725A7"/>
    <w:rsid w:val="00B7372C"/>
    <w:rsid w:val="00B739A0"/>
    <w:rsid w:val="00B73A45"/>
    <w:rsid w:val="00B747ED"/>
    <w:rsid w:val="00B75547"/>
    <w:rsid w:val="00B770E3"/>
    <w:rsid w:val="00B80D87"/>
    <w:rsid w:val="00B812BA"/>
    <w:rsid w:val="00B81BCF"/>
    <w:rsid w:val="00B83009"/>
    <w:rsid w:val="00B830D0"/>
    <w:rsid w:val="00B83D4E"/>
    <w:rsid w:val="00B845BC"/>
    <w:rsid w:val="00B86DBD"/>
    <w:rsid w:val="00B87B2D"/>
    <w:rsid w:val="00B87C88"/>
    <w:rsid w:val="00B90321"/>
    <w:rsid w:val="00B912BF"/>
    <w:rsid w:val="00B913DD"/>
    <w:rsid w:val="00B920B9"/>
    <w:rsid w:val="00B9221E"/>
    <w:rsid w:val="00B9275F"/>
    <w:rsid w:val="00B92D78"/>
    <w:rsid w:val="00B93053"/>
    <w:rsid w:val="00B93B23"/>
    <w:rsid w:val="00B93D80"/>
    <w:rsid w:val="00B93F05"/>
    <w:rsid w:val="00B9443D"/>
    <w:rsid w:val="00B945AF"/>
    <w:rsid w:val="00B9473D"/>
    <w:rsid w:val="00B954D8"/>
    <w:rsid w:val="00B955C1"/>
    <w:rsid w:val="00B95F8F"/>
    <w:rsid w:val="00B96B95"/>
    <w:rsid w:val="00BA02BF"/>
    <w:rsid w:val="00BA0E42"/>
    <w:rsid w:val="00BA0F5D"/>
    <w:rsid w:val="00BA27DA"/>
    <w:rsid w:val="00BA2D33"/>
    <w:rsid w:val="00BA3C8E"/>
    <w:rsid w:val="00BA47F1"/>
    <w:rsid w:val="00BA7A05"/>
    <w:rsid w:val="00BB03BF"/>
    <w:rsid w:val="00BB388D"/>
    <w:rsid w:val="00BB3F92"/>
    <w:rsid w:val="00BB40F1"/>
    <w:rsid w:val="00BB4107"/>
    <w:rsid w:val="00BB664C"/>
    <w:rsid w:val="00BB6D0F"/>
    <w:rsid w:val="00BB78B8"/>
    <w:rsid w:val="00BC02A4"/>
    <w:rsid w:val="00BC1B04"/>
    <w:rsid w:val="00BC1C28"/>
    <w:rsid w:val="00BC2632"/>
    <w:rsid w:val="00BC2C72"/>
    <w:rsid w:val="00BC2F17"/>
    <w:rsid w:val="00BC3DE5"/>
    <w:rsid w:val="00BC4685"/>
    <w:rsid w:val="00BC5179"/>
    <w:rsid w:val="00BC6CF0"/>
    <w:rsid w:val="00BD035D"/>
    <w:rsid w:val="00BD0AAB"/>
    <w:rsid w:val="00BD25A7"/>
    <w:rsid w:val="00BD298D"/>
    <w:rsid w:val="00BD31A8"/>
    <w:rsid w:val="00BD329D"/>
    <w:rsid w:val="00BD45A0"/>
    <w:rsid w:val="00BD66DB"/>
    <w:rsid w:val="00BD73D6"/>
    <w:rsid w:val="00BD794D"/>
    <w:rsid w:val="00BD7B06"/>
    <w:rsid w:val="00BE03D0"/>
    <w:rsid w:val="00BE0B8B"/>
    <w:rsid w:val="00BE1992"/>
    <w:rsid w:val="00BE47A2"/>
    <w:rsid w:val="00BE634B"/>
    <w:rsid w:val="00BE65DB"/>
    <w:rsid w:val="00BE759F"/>
    <w:rsid w:val="00BE75F7"/>
    <w:rsid w:val="00BE7EEE"/>
    <w:rsid w:val="00BF06B6"/>
    <w:rsid w:val="00BF1E74"/>
    <w:rsid w:val="00BF26A8"/>
    <w:rsid w:val="00BF6D57"/>
    <w:rsid w:val="00BF7650"/>
    <w:rsid w:val="00C00F1B"/>
    <w:rsid w:val="00C0181D"/>
    <w:rsid w:val="00C01D28"/>
    <w:rsid w:val="00C0209D"/>
    <w:rsid w:val="00C030FD"/>
    <w:rsid w:val="00C03B60"/>
    <w:rsid w:val="00C04C5C"/>
    <w:rsid w:val="00C04E4D"/>
    <w:rsid w:val="00C0595B"/>
    <w:rsid w:val="00C05EF2"/>
    <w:rsid w:val="00C106B2"/>
    <w:rsid w:val="00C10B40"/>
    <w:rsid w:val="00C112A4"/>
    <w:rsid w:val="00C12604"/>
    <w:rsid w:val="00C1267E"/>
    <w:rsid w:val="00C13B39"/>
    <w:rsid w:val="00C15471"/>
    <w:rsid w:val="00C15D41"/>
    <w:rsid w:val="00C16030"/>
    <w:rsid w:val="00C167AD"/>
    <w:rsid w:val="00C20281"/>
    <w:rsid w:val="00C20380"/>
    <w:rsid w:val="00C222A6"/>
    <w:rsid w:val="00C23CA5"/>
    <w:rsid w:val="00C23D1A"/>
    <w:rsid w:val="00C24231"/>
    <w:rsid w:val="00C246C0"/>
    <w:rsid w:val="00C246F8"/>
    <w:rsid w:val="00C2524C"/>
    <w:rsid w:val="00C25482"/>
    <w:rsid w:val="00C26100"/>
    <w:rsid w:val="00C263D1"/>
    <w:rsid w:val="00C26565"/>
    <w:rsid w:val="00C2762D"/>
    <w:rsid w:val="00C3012D"/>
    <w:rsid w:val="00C30210"/>
    <w:rsid w:val="00C302AD"/>
    <w:rsid w:val="00C302DC"/>
    <w:rsid w:val="00C30535"/>
    <w:rsid w:val="00C31380"/>
    <w:rsid w:val="00C31B00"/>
    <w:rsid w:val="00C32AE7"/>
    <w:rsid w:val="00C33C4B"/>
    <w:rsid w:val="00C34D64"/>
    <w:rsid w:val="00C35D81"/>
    <w:rsid w:val="00C35F76"/>
    <w:rsid w:val="00C363B1"/>
    <w:rsid w:val="00C36D18"/>
    <w:rsid w:val="00C36FEF"/>
    <w:rsid w:val="00C37598"/>
    <w:rsid w:val="00C377A5"/>
    <w:rsid w:val="00C3797F"/>
    <w:rsid w:val="00C37C52"/>
    <w:rsid w:val="00C403FA"/>
    <w:rsid w:val="00C41319"/>
    <w:rsid w:val="00C41B5B"/>
    <w:rsid w:val="00C41E72"/>
    <w:rsid w:val="00C41ED5"/>
    <w:rsid w:val="00C42157"/>
    <w:rsid w:val="00C435A3"/>
    <w:rsid w:val="00C4390C"/>
    <w:rsid w:val="00C440ED"/>
    <w:rsid w:val="00C45804"/>
    <w:rsid w:val="00C45E32"/>
    <w:rsid w:val="00C46BE6"/>
    <w:rsid w:val="00C50379"/>
    <w:rsid w:val="00C50872"/>
    <w:rsid w:val="00C50941"/>
    <w:rsid w:val="00C532BE"/>
    <w:rsid w:val="00C54A6C"/>
    <w:rsid w:val="00C561F1"/>
    <w:rsid w:val="00C56AB8"/>
    <w:rsid w:val="00C61630"/>
    <w:rsid w:val="00C63A3A"/>
    <w:rsid w:val="00C63D1F"/>
    <w:rsid w:val="00C63F93"/>
    <w:rsid w:val="00C65613"/>
    <w:rsid w:val="00C65AB2"/>
    <w:rsid w:val="00C65AE6"/>
    <w:rsid w:val="00C66555"/>
    <w:rsid w:val="00C67757"/>
    <w:rsid w:val="00C7084F"/>
    <w:rsid w:val="00C71336"/>
    <w:rsid w:val="00C719F2"/>
    <w:rsid w:val="00C723C7"/>
    <w:rsid w:val="00C76009"/>
    <w:rsid w:val="00C76ACC"/>
    <w:rsid w:val="00C7713D"/>
    <w:rsid w:val="00C805EB"/>
    <w:rsid w:val="00C82375"/>
    <w:rsid w:val="00C8289E"/>
    <w:rsid w:val="00C82FEC"/>
    <w:rsid w:val="00C83545"/>
    <w:rsid w:val="00C847D6"/>
    <w:rsid w:val="00C84D84"/>
    <w:rsid w:val="00C8519C"/>
    <w:rsid w:val="00C8634A"/>
    <w:rsid w:val="00C8647C"/>
    <w:rsid w:val="00C86E7A"/>
    <w:rsid w:val="00C871F9"/>
    <w:rsid w:val="00C91A59"/>
    <w:rsid w:val="00C92751"/>
    <w:rsid w:val="00C92BBE"/>
    <w:rsid w:val="00C9334E"/>
    <w:rsid w:val="00C93FC5"/>
    <w:rsid w:val="00C94057"/>
    <w:rsid w:val="00C948FF"/>
    <w:rsid w:val="00C94E1E"/>
    <w:rsid w:val="00C9796D"/>
    <w:rsid w:val="00CA16F0"/>
    <w:rsid w:val="00CA1B6D"/>
    <w:rsid w:val="00CA1C0F"/>
    <w:rsid w:val="00CA293E"/>
    <w:rsid w:val="00CA32D5"/>
    <w:rsid w:val="00CA3A3E"/>
    <w:rsid w:val="00CA58C7"/>
    <w:rsid w:val="00CA5F13"/>
    <w:rsid w:val="00CA6806"/>
    <w:rsid w:val="00CB09FF"/>
    <w:rsid w:val="00CB0EB5"/>
    <w:rsid w:val="00CB23EE"/>
    <w:rsid w:val="00CB2A1F"/>
    <w:rsid w:val="00CB3264"/>
    <w:rsid w:val="00CB4EC5"/>
    <w:rsid w:val="00CB5198"/>
    <w:rsid w:val="00CB6085"/>
    <w:rsid w:val="00CB6BD8"/>
    <w:rsid w:val="00CB6F44"/>
    <w:rsid w:val="00CC0FA4"/>
    <w:rsid w:val="00CC1AA5"/>
    <w:rsid w:val="00CC1B9E"/>
    <w:rsid w:val="00CC1DF1"/>
    <w:rsid w:val="00CC1E68"/>
    <w:rsid w:val="00CC2798"/>
    <w:rsid w:val="00CC4460"/>
    <w:rsid w:val="00CC49EC"/>
    <w:rsid w:val="00CC62D0"/>
    <w:rsid w:val="00CC640A"/>
    <w:rsid w:val="00CC6ED1"/>
    <w:rsid w:val="00CD0961"/>
    <w:rsid w:val="00CD10FD"/>
    <w:rsid w:val="00CD3362"/>
    <w:rsid w:val="00CD44D3"/>
    <w:rsid w:val="00CD4988"/>
    <w:rsid w:val="00CD575C"/>
    <w:rsid w:val="00CD578F"/>
    <w:rsid w:val="00CD5C21"/>
    <w:rsid w:val="00CD5EC2"/>
    <w:rsid w:val="00CD6421"/>
    <w:rsid w:val="00CE0F60"/>
    <w:rsid w:val="00CE1455"/>
    <w:rsid w:val="00CE1DFA"/>
    <w:rsid w:val="00CE3DF7"/>
    <w:rsid w:val="00CE441C"/>
    <w:rsid w:val="00CE4425"/>
    <w:rsid w:val="00CE4623"/>
    <w:rsid w:val="00CE5B2D"/>
    <w:rsid w:val="00CE5BE2"/>
    <w:rsid w:val="00CE5C3E"/>
    <w:rsid w:val="00CE60CC"/>
    <w:rsid w:val="00CE6859"/>
    <w:rsid w:val="00CE6F88"/>
    <w:rsid w:val="00CE7080"/>
    <w:rsid w:val="00CE71BA"/>
    <w:rsid w:val="00CF0474"/>
    <w:rsid w:val="00CF08E6"/>
    <w:rsid w:val="00CF1F4A"/>
    <w:rsid w:val="00CF33D5"/>
    <w:rsid w:val="00CF3715"/>
    <w:rsid w:val="00CF4903"/>
    <w:rsid w:val="00CF4D0E"/>
    <w:rsid w:val="00CF654D"/>
    <w:rsid w:val="00D0123C"/>
    <w:rsid w:val="00D02F6E"/>
    <w:rsid w:val="00D0390F"/>
    <w:rsid w:val="00D051F0"/>
    <w:rsid w:val="00D05CC2"/>
    <w:rsid w:val="00D077E3"/>
    <w:rsid w:val="00D07972"/>
    <w:rsid w:val="00D106F0"/>
    <w:rsid w:val="00D1072F"/>
    <w:rsid w:val="00D10DB1"/>
    <w:rsid w:val="00D11385"/>
    <w:rsid w:val="00D12B46"/>
    <w:rsid w:val="00D12C4F"/>
    <w:rsid w:val="00D13EE2"/>
    <w:rsid w:val="00D141E4"/>
    <w:rsid w:val="00D162F8"/>
    <w:rsid w:val="00D163D2"/>
    <w:rsid w:val="00D176D1"/>
    <w:rsid w:val="00D17F6C"/>
    <w:rsid w:val="00D20ADA"/>
    <w:rsid w:val="00D21813"/>
    <w:rsid w:val="00D21D9F"/>
    <w:rsid w:val="00D2253A"/>
    <w:rsid w:val="00D2286C"/>
    <w:rsid w:val="00D23E2D"/>
    <w:rsid w:val="00D2417F"/>
    <w:rsid w:val="00D2451C"/>
    <w:rsid w:val="00D25D59"/>
    <w:rsid w:val="00D26299"/>
    <w:rsid w:val="00D26576"/>
    <w:rsid w:val="00D27092"/>
    <w:rsid w:val="00D27191"/>
    <w:rsid w:val="00D31B1B"/>
    <w:rsid w:val="00D32AB9"/>
    <w:rsid w:val="00D32D72"/>
    <w:rsid w:val="00D34B31"/>
    <w:rsid w:val="00D34EA5"/>
    <w:rsid w:val="00D3502E"/>
    <w:rsid w:val="00D351A3"/>
    <w:rsid w:val="00D35429"/>
    <w:rsid w:val="00D35AFF"/>
    <w:rsid w:val="00D35EE6"/>
    <w:rsid w:val="00D37BC5"/>
    <w:rsid w:val="00D37DE1"/>
    <w:rsid w:val="00D402BC"/>
    <w:rsid w:val="00D40F30"/>
    <w:rsid w:val="00D42116"/>
    <w:rsid w:val="00D42140"/>
    <w:rsid w:val="00D4433B"/>
    <w:rsid w:val="00D44937"/>
    <w:rsid w:val="00D45D3C"/>
    <w:rsid w:val="00D45D76"/>
    <w:rsid w:val="00D45E5E"/>
    <w:rsid w:val="00D4619B"/>
    <w:rsid w:val="00D50062"/>
    <w:rsid w:val="00D50142"/>
    <w:rsid w:val="00D5190D"/>
    <w:rsid w:val="00D529EA"/>
    <w:rsid w:val="00D52F37"/>
    <w:rsid w:val="00D52FD5"/>
    <w:rsid w:val="00D53073"/>
    <w:rsid w:val="00D53A46"/>
    <w:rsid w:val="00D542A0"/>
    <w:rsid w:val="00D552D0"/>
    <w:rsid w:val="00D552F8"/>
    <w:rsid w:val="00D56428"/>
    <w:rsid w:val="00D5677A"/>
    <w:rsid w:val="00D57C6C"/>
    <w:rsid w:val="00D57EC7"/>
    <w:rsid w:val="00D60D30"/>
    <w:rsid w:val="00D6199C"/>
    <w:rsid w:val="00D6302C"/>
    <w:rsid w:val="00D63B31"/>
    <w:rsid w:val="00D64DF6"/>
    <w:rsid w:val="00D6521D"/>
    <w:rsid w:val="00D65A47"/>
    <w:rsid w:val="00D660B5"/>
    <w:rsid w:val="00D661FE"/>
    <w:rsid w:val="00D674BE"/>
    <w:rsid w:val="00D67784"/>
    <w:rsid w:val="00D67BA0"/>
    <w:rsid w:val="00D70720"/>
    <w:rsid w:val="00D71E91"/>
    <w:rsid w:val="00D71FFC"/>
    <w:rsid w:val="00D730FB"/>
    <w:rsid w:val="00D73C6E"/>
    <w:rsid w:val="00D74D9F"/>
    <w:rsid w:val="00D75389"/>
    <w:rsid w:val="00D76259"/>
    <w:rsid w:val="00D76428"/>
    <w:rsid w:val="00D76514"/>
    <w:rsid w:val="00D76D71"/>
    <w:rsid w:val="00D80428"/>
    <w:rsid w:val="00D831B5"/>
    <w:rsid w:val="00D83B71"/>
    <w:rsid w:val="00D83D67"/>
    <w:rsid w:val="00D83F10"/>
    <w:rsid w:val="00D84685"/>
    <w:rsid w:val="00D85A78"/>
    <w:rsid w:val="00D86C36"/>
    <w:rsid w:val="00D86CF8"/>
    <w:rsid w:val="00D9029F"/>
    <w:rsid w:val="00D90654"/>
    <w:rsid w:val="00D91072"/>
    <w:rsid w:val="00D913BD"/>
    <w:rsid w:val="00D91F3C"/>
    <w:rsid w:val="00D91F92"/>
    <w:rsid w:val="00D936B2"/>
    <w:rsid w:val="00D967E7"/>
    <w:rsid w:val="00D97775"/>
    <w:rsid w:val="00D9796F"/>
    <w:rsid w:val="00DA079A"/>
    <w:rsid w:val="00DA0A97"/>
    <w:rsid w:val="00DA17E2"/>
    <w:rsid w:val="00DA2C66"/>
    <w:rsid w:val="00DA6005"/>
    <w:rsid w:val="00DB0261"/>
    <w:rsid w:val="00DB15F2"/>
    <w:rsid w:val="00DB1F8B"/>
    <w:rsid w:val="00DB238D"/>
    <w:rsid w:val="00DB3ED6"/>
    <w:rsid w:val="00DB4B03"/>
    <w:rsid w:val="00DB5DD4"/>
    <w:rsid w:val="00DB6ADE"/>
    <w:rsid w:val="00DB7563"/>
    <w:rsid w:val="00DB7609"/>
    <w:rsid w:val="00DC069E"/>
    <w:rsid w:val="00DC0D97"/>
    <w:rsid w:val="00DC1A45"/>
    <w:rsid w:val="00DC2EEC"/>
    <w:rsid w:val="00DC334F"/>
    <w:rsid w:val="00DC40A4"/>
    <w:rsid w:val="00DC4287"/>
    <w:rsid w:val="00DC5724"/>
    <w:rsid w:val="00DC67CE"/>
    <w:rsid w:val="00DC7196"/>
    <w:rsid w:val="00DD04CD"/>
    <w:rsid w:val="00DD0D94"/>
    <w:rsid w:val="00DD1D39"/>
    <w:rsid w:val="00DD31F5"/>
    <w:rsid w:val="00DD3469"/>
    <w:rsid w:val="00DD34EE"/>
    <w:rsid w:val="00DD3FB7"/>
    <w:rsid w:val="00DD4691"/>
    <w:rsid w:val="00DD5C79"/>
    <w:rsid w:val="00DD6FB6"/>
    <w:rsid w:val="00DE03C8"/>
    <w:rsid w:val="00DE0773"/>
    <w:rsid w:val="00DE0A3E"/>
    <w:rsid w:val="00DE12F8"/>
    <w:rsid w:val="00DE1D4D"/>
    <w:rsid w:val="00DE1F14"/>
    <w:rsid w:val="00DE2D3B"/>
    <w:rsid w:val="00DE3043"/>
    <w:rsid w:val="00DE47C3"/>
    <w:rsid w:val="00DE4D53"/>
    <w:rsid w:val="00DE526C"/>
    <w:rsid w:val="00DE7983"/>
    <w:rsid w:val="00DE7C99"/>
    <w:rsid w:val="00DF17CC"/>
    <w:rsid w:val="00DF3198"/>
    <w:rsid w:val="00DF3698"/>
    <w:rsid w:val="00DF3C13"/>
    <w:rsid w:val="00DF4778"/>
    <w:rsid w:val="00DF50E7"/>
    <w:rsid w:val="00DF5DC7"/>
    <w:rsid w:val="00DF5F9C"/>
    <w:rsid w:val="00DF6778"/>
    <w:rsid w:val="00DF71F8"/>
    <w:rsid w:val="00DF7946"/>
    <w:rsid w:val="00E001AB"/>
    <w:rsid w:val="00E02265"/>
    <w:rsid w:val="00E02715"/>
    <w:rsid w:val="00E02836"/>
    <w:rsid w:val="00E0486E"/>
    <w:rsid w:val="00E048DA"/>
    <w:rsid w:val="00E060C3"/>
    <w:rsid w:val="00E06608"/>
    <w:rsid w:val="00E0711D"/>
    <w:rsid w:val="00E0756F"/>
    <w:rsid w:val="00E07FD3"/>
    <w:rsid w:val="00E10082"/>
    <w:rsid w:val="00E11A49"/>
    <w:rsid w:val="00E126B8"/>
    <w:rsid w:val="00E15B56"/>
    <w:rsid w:val="00E16FC2"/>
    <w:rsid w:val="00E2018F"/>
    <w:rsid w:val="00E20335"/>
    <w:rsid w:val="00E2062A"/>
    <w:rsid w:val="00E2159B"/>
    <w:rsid w:val="00E22B42"/>
    <w:rsid w:val="00E22E2E"/>
    <w:rsid w:val="00E23001"/>
    <w:rsid w:val="00E23BA6"/>
    <w:rsid w:val="00E24AC8"/>
    <w:rsid w:val="00E25087"/>
    <w:rsid w:val="00E2608B"/>
    <w:rsid w:val="00E26649"/>
    <w:rsid w:val="00E272C6"/>
    <w:rsid w:val="00E311A5"/>
    <w:rsid w:val="00E3165D"/>
    <w:rsid w:val="00E32767"/>
    <w:rsid w:val="00E32E8B"/>
    <w:rsid w:val="00E33DF0"/>
    <w:rsid w:val="00E33DF2"/>
    <w:rsid w:val="00E34E7A"/>
    <w:rsid w:val="00E361EC"/>
    <w:rsid w:val="00E36489"/>
    <w:rsid w:val="00E36EE8"/>
    <w:rsid w:val="00E37E01"/>
    <w:rsid w:val="00E37EC5"/>
    <w:rsid w:val="00E411CC"/>
    <w:rsid w:val="00E43DF7"/>
    <w:rsid w:val="00E45129"/>
    <w:rsid w:val="00E459C0"/>
    <w:rsid w:val="00E476EA"/>
    <w:rsid w:val="00E47C29"/>
    <w:rsid w:val="00E47E4C"/>
    <w:rsid w:val="00E504AD"/>
    <w:rsid w:val="00E51103"/>
    <w:rsid w:val="00E5182D"/>
    <w:rsid w:val="00E51E20"/>
    <w:rsid w:val="00E52370"/>
    <w:rsid w:val="00E526CC"/>
    <w:rsid w:val="00E5515C"/>
    <w:rsid w:val="00E55632"/>
    <w:rsid w:val="00E558CE"/>
    <w:rsid w:val="00E562A2"/>
    <w:rsid w:val="00E56911"/>
    <w:rsid w:val="00E573A2"/>
    <w:rsid w:val="00E57464"/>
    <w:rsid w:val="00E575E0"/>
    <w:rsid w:val="00E57691"/>
    <w:rsid w:val="00E57B6C"/>
    <w:rsid w:val="00E607EF"/>
    <w:rsid w:val="00E617CF"/>
    <w:rsid w:val="00E619C1"/>
    <w:rsid w:val="00E61CAB"/>
    <w:rsid w:val="00E61E5C"/>
    <w:rsid w:val="00E61F30"/>
    <w:rsid w:val="00E62544"/>
    <w:rsid w:val="00E64B2B"/>
    <w:rsid w:val="00E656F0"/>
    <w:rsid w:val="00E65930"/>
    <w:rsid w:val="00E660B4"/>
    <w:rsid w:val="00E70E54"/>
    <w:rsid w:val="00E7178C"/>
    <w:rsid w:val="00E71AF9"/>
    <w:rsid w:val="00E71D90"/>
    <w:rsid w:val="00E74619"/>
    <w:rsid w:val="00E7527E"/>
    <w:rsid w:val="00E75BE7"/>
    <w:rsid w:val="00E75CDD"/>
    <w:rsid w:val="00E75F15"/>
    <w:rsid w:val="00E76F27"/>
    <w:rsid w:val="00E828B8"/>
    <w:rsid w:val="00E83D97"/>
    <w:rsid w:val="00E8580A"/>
    <w:rsid w:val="00E87E40"/>
    <w:rsid w:val="00E90424"/>
    <w:rsid w:val="00E909FF"/>
    <w:rsid w:val="00E90AC0"/>
    <w:rsid w:val="00E9137E"/>
    <w:rsid w:val="00E931FF"/>
    <w:rsid w:val="00E947AC"/>
    <w:rsid w:val="00E94967"/>
    <w:rsid w:val="00E95406"/>
    <w:rsid w:val="00E9686C"/>
    <w:rsid w:val="00E97F2C"/>
    <w:rsid w:val="00EA04F9"/>
    <w:rsid w:val="00EA200F"/>
    <w:rsid w:val="00EA2859"/>
    <w:rsid w:val="00EA2955"/>
    <w:rsid w:val="00EA425B"/>
    <w:rsid w:val="00EA4787"/>
    <w:rsid w:val="00EA66EE"/>
    <w:rsid w:val="00EA7ED7"/>
    <w:rsid w:val="00EB108A"/>
    <w:rsid w:val="00EB1A1F"/>
    <w:rsid w:val="00EB36F6"/>
    <w:rsid w:val="00EB3D78"/>
    <w:rsid w:val="00EC076D"/>
    <w:rsid w:val="00EC0921"/>
    <w:rsid w:val="00EC1272"/>
    <w:rsid w:val="00EC25DB"/>
    <w:rsid w:val="00EC272C"/>
    <w:rsid w:val="00EC2B94"/>
    <w:rsid w:val="00EC406F"/>
    <w:rsid w:val="00EC4B9A"/>
    <w:rsid w:val="00EC5482"/>
    <w:rsid w:val="00EC7A6A"/>
    <w:rsid w:val="00ED1851"/>
    <w:rsid w:val="00ED6059"/>
    <w:rsid w:val="00ED61F0"/>
    <w:rsid w:val="00ED69B9"/>
    <w:rsid w:val="00ED6F50"/>
    <w:rsid w:val="00EE0F98"/>
    <w:rsid w:val="00EE100D"/>
    <w:rsid w:val="00EE1BB0"/>
    <w:rsid w:val="00EE227B"/>
    <w:rsid w:val="00EE351E"/>
    <w:rsid w:val="00EE372C"/>
    <w:rsid w:val="00EE3B35"/>
    <w:rsid w:val="00EE3EC3"/>
    <w:rsid w:val="00EE57DF"/>
    <w:rsid w:val="00EE60A5"/>
    <w:rsid w:val="00EE6212"/>
    <w:rsid w:val="00EE63BF"/>
    <w:rsid w:val="00EE7870"/>
    <w:rsid w:val="00EF03E1"/>
    <w:rsid w:val="00EF07E4"/>
    <w:rsid w:val="00EF136A"/>
    <w:rsid w:val="00EF136C"/>
    <w:rsid w:val="00EF314A"/>
    <w:rsid w:val="00EF43EE"/>
    <w:rsid w:val="00EF4BD0"/>
    <w:rsid w:val="00EF4E42"/>
    <w:rsid w:val="00EF5002"/>
    <w:rsid w:val="00EF5593"/>
    <w:rsid w:val="00EF587C"/>
    <w:rsid w:val="00EF6641"/>
    <w:rsid w:val="00EF75AA"/>
    <w:rsid w:val="00EF7B2F"/>
    <w:rsid w:val="00F00428"/>
    <w:rsid w:val="00F00432"/>
    <w:rsid w:val="00F01090"/>
    <w:rsid w:val="00F02675"/>
    <w:rsid w:val="00F03606"/>
    <w:rsid w:val="00F038E1"/>
    <w:rsid w:val="00F049FC"/>
    <w:rsid w:val="00F07C06"/>
    <w:rsid w:val="00F07E78"/>
    <w:rsid w:val="00F10336"/>
    <w:rsid w:val="00F105E9"/>
    <w:rsid w:val="00F10B85"/>
    <w:rsid w:val="00F10D61"/>
    <w:rsid w:val="00F11892"/>
    <w:rsid w:val="00F1191D"/>
    <w:rsid w:val="00F11EE2"/>
    <w:rsid w:val="00F12036"/>
    <w:rsid w:val="00F1230C"/>
    <w:rsid w:val="00F12543"/>
    <w:rsid w:val="00F126B1"/>
    <w:rsid w:val="00F139DB"/>
    <w:rsid w:val="00F14246"/>
    <w:rsid w:val="00F15635"/>
    <w:rsid w:val="00F177F0"/>
    <w:rsid w:val="00F17F36"/>
    <w:rsid w:val="00F20489"/>
    <w:rsid w:val="00F21E2C"/>
    <w:rsid w:val="00F21EB9"/>
    <w:rsid w:val="00F22B2D"/>
    <w:rsid w:val="00F23F9B"/>
    <w:rsid w:val="00F24436"/>
    <w:rsid w:val="00F2450A"/>
    <w:rsid w:val="00F25BF8"/>
    <w:rsid w:val="00F26B02"/>
    <w:rsid w:val="00F27C10"/>
    <w:rsid w:val="00F30C96"/>
    <w:rsid w:val="00F3153C"/>
    <w:rsid w:val="00F32C90"/>
    <w:rsid w:val="00F334E1"/>
    <w:rsid w:val="00F340EF"/>
    <w:rsid w:val="00F341FE"/>
    <w:rsid w:val="00F34346"/>
    <w:rsid w:val="00F3469E"/>
    <w:rsid w:val="00F3523A"/>
    <w:rsid w:val="00F3547E"/>
    <w:rsid w:val="00F35C5B"/>
    <w:rsid w:val="00F36E5D"/>
    <w:rsid w:val="00F37F52"/>
    <w:rsid w:val="00F4057D"/>
    <w:rsid w:val="00F4189A"/>
    <w:rsid w:val="00F41E6A"/>
    <w:rsid w:val="00F42252"/>
    <w:rsid w:val="00F43993"/>
    <w:rsid w:val="00F444A5"/>
    <w:rsid w:val="00F4464C"/>
    <w:rsid w:val="00F44920"/>
    <w:rsid w:val="00F4495C"/>
    <w:rsid w:val="00F44BC5"/>
    <w:rsid w:val="00F44D55"/>
    <w:rsid w:val="00F44E70"/>
    <w:rsid w:val="00F45C54"/>
    <w:rsid w:val="00F464D6"/>
    <w:rsid w:val="00F4774B"/>
    <w:rsid w:val="00F51EBD"/>
    <w:rsid w:val="00F52F83"/>
    <w:rsid w:val="00F53C42"/>
    <w:rsid w:val="00F53D5A"/>
    <w:rsid w:val="00F540A9"/>
    <w:rsid w:val="00F55E90"/>
    <w:rsid w:val="00F57495"/>
    <w:rsid w:val="00F577BC"/>
    <w:rsid w:val="00F57C5B"/>
    <w:rsid w:val="00F57F1D"/>
    <w:rsid w:val="00F60220"/>
    <w:rsid w:val="00F60728"/>
    <w:rsid w:val="00F60A91"/>
    <w:rsid w:val="00F61B35"/>
    <w:rsid w:val="00F61D3C"/>
    <w:rsid w:val="00F61ED9"/>
    <w:rsid w:val="00F61F7D"/>
    <w:rsid w:val="00F63C2A"/>
    <w:rsid w:val="00F645BE"/>
    <w:rsid w:val="00F64A1E"/>
    <w:rsid w:val="00F64D54"/>
    <w:rsid w:val="00F65C07"/>
    <w:rsid w:val="00F66F42"/>
    <w:rsid w:val="00F6744D"/>
    <w:rsid w:val="00F67554"/>
    <w:rsid w:val="00F67957"/>
    <w:rsid w:val="00F70417"/>
    <w:rsid w:val="00F7107B"/>
    <w:rsid w:val="00F72384"/>
    <w:rsid w:val="00F7245A"/>
    <w:rsid w:val="00F73536"/>
    <w:rsid w:val="00F73BD9"/>
    <w:rsid w:val="00F74106"/>
    <w:rsid w:val="00F753AE"/>
    <w:rsid w:val="00F762CC"/>
    <w:rsid w:val="00F76B75"/>
    <w:rsid w:val="00F76D65"/>
    <w:rsid w:val="00F77085"/>
    <w:rsid w:val="00F77116"/>
    <w:rsid w:val="00F804E7"/>
    <w:rsid w:val="00F80FEC"/>
    <w:rsid w:val="00F81902"/>
    <w:rsid w:val="00F82AB1"/>
    <w:rsid w:val="00F830A0"/>
    <w:rsid w:val="00F91E2A"/>
    <w:rsid w:val="00F92C55"/>
    <w:rsid w:val="00F93470"/>
    <w:rsid w:val="00F93701"/>
    <w:rsid w:val="00F949C5"/>
    <w:rsid w:val="00F9624E"/>
    <w:rsid w:val="00F96670"/>
    <w:rsid w:val="00F96E0F"/>
    <w:rsid w:val="00F97606"/>
    <w:rsid w:val="00FA10F3"/>
    <w:rsid w:val="00FA111D"/>
    <w:rsid w:val="00FA152B"/>
    <w:rsid w:val="00FA2CC4"/>
    <w:rsid w:val="00FA4362"/>
    <w:rsid w:val="00FA472E"/>
    <w:rsid w:val="00FA6A6A"/>
    <w:rsid w:val="00FA6A84"/>
    <w:rsid w:val="00FA6A98"/>
    <w:rsid w:val="00FA6F41"/>
    <w:rsid w:val="00FA7D4E"/>
    <w:rsid w:val="00FB1B86"/>
    <w:rsid w:val="00FB2C06"/>
    <w:rsid w:val="00FB2F42"/>
    <w:rsid w:val="00FB43EC"/>
    <w:rsid w:val="00FB5225"/>
    <w:rsid w:val="00FB560A"/>
    <w:rsid w:val="00FB6C52"/>
    <w:rsid w:val="00FB7ECD"/>
    <w:rsid w:val="00FC12E3"/>
    <w:rsid w:val="00FC1508"/>
    <w:rsid w:val="00FC2145"/>
    <w:rsid w:val="00FC28AE"/>
    <w:rsid w:val="00FC3D9B"/>
    <w:rsid w:val="00FC68F8"/>
    <w:rsid w:val="00FD0CB4"/>
    <w:rsid w:val="00FD17F9"/>
    <w:rsid w:val="00FD31E6"/>
    <w:rsid w:val="00FD62A0"/>
    <w:rsid w:val="00FD6391"/>
    <w:rsid w:val="00FD6DAF"/>
    <w:rsid w:val="00FE02B1"/>
    <w:rsid w:val="00FE0777"/>
    <w:rsid w:val="00FE0843"/>
    <w:rsid w:val="00FE0A00"/>
    <w:rsid w:val="00FE1C71"/>
    <w:rsid w:val="00FE2B74"/>
    <w:rsid w:val="00FE2BF5"/>
    <w:rsid w:val="00FE2CB8"/>
    <w:rsid w:val="00FE3AB8"/>
    <w:rsid w:val="00FE3B9D"/>
    <w:rsid w:val="00FE534B"/>
    <w:rsid w:val="00FE549C"/>
    <w:rsid w:val="00FE563C"/>
    <w:rsid w:val="00FE5B2E"/>
    <w:rsid w:val="00FE5E93"/>
    <w:rsid w:val="00FE5FE6"/>
    <w:rsid w:val="00FE63B3"/>
    <w:rsid w:val="00FE7059"/>
    <w:rsid w:val="00FE7598"/>
    <w:rsid w:val="00FE7ECC"/>
    <w:rsid w:val="00FF0690"/>
    <w:rsid w:val="00FF0C3C"/>
    <w:rsid w:val="00FF2903"/>
    <w:rsid w:val="00FF399A"/>
    <w:rsid w:val="00FF4105"/>
    <w:rsid w:val="00FF4EE8"/>
    <w:rsid w:val="00FF5437"/>
    <w:rsid w:val="00FF69C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2BE51C7"/>
  <w15:docId w15:val="{7834EB6E-F68E-4002-9DE3-7BC5D240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2CB8"/>
    <w:pPr>
      <w:overflowPunct w:val="0"/>
      <w:autoSpaceDE w:val="0"/>
      <w:autoSpaceDN w:val="0"/>
      <w:adjustRightInd w:val="0"/>
      <w:textAlignment w:val="baseline"/>
    </w:pPr>
  </w:style>
  <w:style w:type="paragraph" w:styleId="Heading1">
    <w:name w:val="heading 1"/>
    <w:basedOn w:val="Normal"/>
    <w:next w:val="Normal"/>
    <w:link w:val="Heading1Char"/>
    <w:uiPriority w:val="9"/>
    <w:qFormat/>
    <w:rsid w:val="00FE2CB8"/>
    <w:pPr>
      <w:keepNext/>
      <w:overflowPunct/>
      <w:adjustRightInd/>
      <w:textAlignment w:val="auto"/>
      <w:outlineLvl w:val="0"/>
    </w:pPr>
    <w:rPr>
      <w:b/>
      <w:bCs/>
      <w:sz w:val="32"/>
      <w:szCs w:val="24"/>
    </w:rPr>
  </w:style>
  <w:style w:type="paragraph" w:styleId="Heading2">
    <w:name w:val="heading 2"/>
    <w:basedOn w:val="Normal"/>
    <w:next w:val="Normal"/>
    <w:link w:val="Heading2Char"/>
    <w:uiPriority w:val="9"/>
    <w:qFormat/>
    <w:rsid w:val="00FE2CB8"/>
    <w:pPr>
      <w:keepNext/>
      <w:overflowPunct/>
      <w:autoSpaceDE/>
      <w:autoSpaceDN/>
      <w:adjustRightInd/>
      <w:ind w:left="162"/>
      <w:jc w:val="center"/>
      <w:textAlignment w:val="auto"/>
      <w:outlineLvl w:val="1"/>
    </w:pPr>
    <w:rPr>
      <w:rFonts w:cs="Traditional Arabic"/>
      <w:b/>
      <w:bCs/>
      <w:noProof/>
      <w:sz w:val="18"/>
      <w:szCs w:val="21"/>
    </w:rPr>
  </w:style>
  <w:style w:type="paragraph" w:styleId="Heading3">
    <w:name w:val="heading 3"/>
    <w:basedOn w:val="Normal"/>
    <w:next w:val="Normal"/>
    <w:link w:val="Heading3Char"/>
    <w:uiPriority w:val="9"/>
    <w:qFormat/>
    <w:rsid w:val="00FE2CB8"/>
    <w:pPr>
      <w:keepNext/>
      <w:outlineLvl w:val="2"/>
    </w:pPr>
    <w:rPr>
      <w:rFonts w:cs="Traditional Arabic"/>
      <w:b/>
      <w:bCs/>
      <w:sz w:val="24"/>
      <w:szCs w:val="24"/>
    </w:rPr>
  </w:style>
  <w:style w:type="paragraph" w:styleId="Heading4">
    <w:name w:val="heading 4"/>
    <w:basedOn w:val="Normal"/>
    <w:next w:val="Normal"/>
    <w:link w:val="Heading4Char"/>
    <w:uiPriority w:val="9"/>
    <w:qFormat/>
    <w:rsid w:val="00FE2CB8"/>
    <w:pPr>
      <w:keepNext/>
      <w:outlineLvl w:val="3"/>
    </w:pPr>
    <w:rPr>
      <w:b/>
      <w:bCs/>
    </w:rPr>
  </w:style>
  <w:style w:type="paragraph" w:styleId="Heading5">
    <w:name w:val="heading 5"/>
    <w:basedOn w:val="Normal"/>
    <w:next w:val="Normal"/>
    <w:link w:val="Heading5Char"/>
    <w:uiPriority w:val="9"/>
    <w:qFormat/>
    <w:rsid w:val="00FE2CB8"/>
    <w:pPr>
      <w:keepNext/>
      <w:overflowPunct/>
      <w:autoSpaceDE/>
      <w:autoSpaceDN/>
      <w:adjustRightInd/>
      <w:jc w:val="center"/>
      <w:textAlignment w:val="auto"/>
      <w:outlineLvl w:val="4"/>
    </w:pPr>
    <w:rPr>
      <w:rFonts w:cs="Traditional Arabic"/>
      <w:b/>
      <w:bCs/>
      <w:noProof/>
      <w:sz w:val="28"/>
      <w:szCs w:val="33"/>
    </w:rPr>
  </w:style>
  <w:style w:type="paragraph" w:styleId="Heading6">
    <w:name w:val="heading 6"/>
    <w:basedOn w:val="Normal"/>
    <w:next w:val="Normal"/>
    <w:link w:val="Heading6Char"/>
    <w:uiPriority w:val="9"/>
    <w:qFormat/>
    <w:rsid w:val="00FE2CB8"/>
    <w:pPr>
      <w:keepNext/>
      <w:overflowPunct/>
      <w:autoSpaceDE/>
      <w:autoSpaceDN/>
      <w:bidi/>
      <w:adjustRightInd/>
      <w:ind w:right="176"/>
      <w:jc w:val="right"/>
      <w:textAlignment w:val="auto"/>
      <w:outlineLvl w:val="5"/>
    </w:pPr>
    <w:rPr>
      <w:rFonts w:cs="Traditional Arabic"/>
      <w:b/>
      <w:bCs/>
      <w:noProof/>
      <w:sz w:val="18"/>
      <w:szCs w:val="21"/>
    </w:rPr>
  </w:style>
  <w:style w:type="paragraph" w:styleId="Heading7">
    <w:name w:val="heading 7"/>
    <w:basedOn w:val="Normal"/>
    <w:next w:val="Normal"/>
    <w:link w:val="Heading7Char"/>
    <w:uiPriority w:val="9"/>
    <w:qFormat/>
    <w:rsid w:val="00FE2CB8"/>
    <w:pPr>
      <w:keepNext/>
      <w:overflowPunct/>
      <w:autoSpaceDE/>
      <w:autoSpaceDN/>
      <w:adjustRightInd/>
      <w:textAlignment w:val="auto"/>
      <w:outlineLvl w:val="6"/>
    </w:pPr>
    <w:rPr>
      <w:rFonts w:cs="Traditional Arabic"/>
      <w:b/>
      <w:bCs/>
      <w:noProof/>
      <w:sz w:val="18"/>
      <w:szCs w:val="21"/>
    </w:rPr>
  </w:style>
  <w:style w:type="paragraph" w:styleId="Heading9">
    <w:name w:val="heading 9"/>
    <w:basedOn w:val="Normal"/>
    <w:next w:val="Normal"/>
    <w:link w:val="Heading9Char"/>
    <w:uiPriority w:val="9"/>
    <w:semiHidden/>
    <w:unhideWhenUsed/>
    <w:qFormat/>
    <w:rsid w:val="001F2744"/>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B4532E"/>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locked/>
    <w:rsid w:val="00B4532E"/>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locked/>
    <w:rsid w:val="00B4532E"/>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locked/>
    <w:rsid w:val="00B4532E"/>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locked/>
    <w:rsid w:val="00B4532E"/>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locked/>
    <w:rsid w:val="00B4532E"/>
    <w:rPr>
      <w:rFonts w:asciiTheme="minorHAnsi" w:eastAsiaTheme="minorEastAsia" w:hAnsiTheme="minorHAnsi" w:cstheme="minorBidi"/>
      <w:b/>
      <w:bCs/>
      <w:sz w:val="22"/>
      <w:szCs w:val="22"/>
    </w:rPr>
  </w:style>
  <w:style w:type="character" w:customStyle="1" w:styleId="Heading7Char">
    <w:name w:val="Heading 7 Char"/>
    <w:basedOn w:val="DefaultParagraphFont"/>
    <w:link w:val="Heading7"/>
    <w:uiPriority w:val="9"/>
    <w:semiHidden/>
    <w:locked/>
    <w:rsid w:val="00B4532E"/>
    <w:rPr>
      <w:rFonts w:asciiTheme="minorHAnsi" w:eastAsiaTheme="minorEastAsia" w:hAnsiTheme="minorHAnsi" w:cstheme="minorBidi"/>
      <w:sz w:val="24"/>
      <w:szCs w:val="24"/>
    </w:rPr>
  </w:style>
  <w:style w:type="character" w:customStyle="1" w:styleId="Heading9Char">
    <w:name w:val="Heading 9 Char"/>
    <w:basedOn w:val="DefaultParagraphFont"/>
    <w:link w:val="Heading9"/>
    <w:uiPriority w:val="9"/>
    <w:semiHidden/>
    <w:locked/>
    <w:rsid w:val="001F2744"/>
    <w:rPr>
      <w:rFonts w:ascii="Cambria" w:hAnsi="Cambria" w:cs="Times New Roman"/>
      <w:sz w:val="22"/>
      <w:szCs w:val="22"/>
    </w:rPr>
  </w:style>
  <w:style w:type="paragraph" w:styleId="Header">
    <w:name w:val="header"/>
    <w:basedOn w:val="Normal"/>
    <w:link w:val="HeaderChar"/>
    <w:uiPriority w:val="99"/>
    <w:rsid w:val="00FE2CB8"/>
    <w:pPr>
      <w:tabs>
        <w:tab w:val="center" w:pos="4153"/>
        <w:tab w:val="right" w:pos="8306"/>
      </w:tabs>
    </w:pPr>
  </w:style>
  <w:style w:type="character" w:customStyle="1" w:styleId="HeaderChar">
    <w:name w:val="Header Char"/>
    <w:basedOn w:val="DefaultParagraphFont"/>
    <w:link w:val="Header"/>
    <w:uiPriority w:val="99"/>
    <w:locked/>
    <w:rsid w:val="00B5698C"/>
    <w:rPr>
      <w:rFonts w:cs="Times New Roman"/>
    </w:rPr>
  </w:style>
  <w:style w:type="paragraph" w:styleId="Footer">
    <w:name w:val="footer"/>
    <w:basedOn w:val="Normal"/>
    <w:link w:val="FooterChar"/>
    <w:uiPriority w:val="99"/>
    <w:rsid w:val="00FE2CB8"/>
    <w:pPr>
      <w:tabs>
        <w:tab w:val="center" w:pos="4153"/>
        <w:tab w:val="right" w:pos="8306"/>
      </w:tabs>
    </w:pPr>
  </w:style>
  <w:style w:type="character" w:customStyle="1" w:styleId="FooterChar">
    <w:name w:val="Footer Char"/>
    <w:basedOn w:val="DefaultParagraphFont"/>
    <w:link w:val="Footer"/>
    <w:uiPriority w:val="99"/>
    <w:locked/>
    <w:rsid w:val="00940590"/>
    <w:rPr>
      <w:rFonts w:cs="Times New Roman"/>
    </w:rPr>
  </w:style>
  <w:style w:type="paragraph" w:styleId="Title">
    <w:name w:val="Title"/>
    <w:basedOn w:val="Normal"/>
    <w:link w:val="TitleChar"/>
    <w:uiPriority w:val="10"/>
    <w:qFormat/>
    <w:rsid w:val="00FE2CB8"/>
    <w:pPr>
      <w:overflowPunct/>
      <w:autoSpaceDE/>
      <w:autoSpaceDN/>
      <w:bidi/>
      <w:adjustRightInd/>
      <w:jc w:val="center"/>
      <w:textAlignment w:val="auto"/>
    </w:pPr>
    <w:rPr>
      <w:rFonts w:cs="Simplified Arabic"/>
      <w:b/>
      <w:bCs/>
      <w:noProof/>
      <w:sz w:val="24"/>
      <w:szCs w:val="28"/>
    </w:rPr>
  </w:style>
  <w:style w:type="character" w:customStyle="1" w:styleId="TitleChar">
    <w:name w:val="Title Char"/>
    <w:basedOn w:val="DefaultParagraphFont"/>
    <w:link w:val="Title"/>
    <w:uiPriority w:val="10"/>
    <w:locked/>
    <w:rsid w:val="008625AF"/>
    <w:rPr>
      <w:rFonts w:cs="Simplified Arabic"/>
      <w:b/>
      <w:bCs/>
      <w:noProof/>
      <w:sz w:val="28"/>
      <w:szCs w:val="28"/>
    </w:rPr>
  </w:style>
  <w:style w:type="paragraph" w:customStyle="1" w:styleId="H1">
    <w:name w:val="H1"/>
    <w:basedOn w:val="Normal"/>
    <w:next w:val="Normal"/>
    <w:rsid w:val="00FE2CB8"/>
    <w:pPr>
      <w:keepNext/>
      <w:overflowPunct/>
      <w:adjustRightInd/>
      <w:spacing w:before="100" w:after="100"/>
      <w:textAlignment w:val="auto"/>
      <w:outlineLvl w:val="1"/>
    </w:pPr>
    <w:rPr>
      <w:b/>
      <w:bCs/>
      <w:kern w:val="36"/>
      <w:sz w:val="48"/>
      <w:szCs w:val="48"/>
    </w:rPr>
  </w:style>
  <w:style w:type="paragraph" w:styleId="Subtitle">
    <w:name w:val="Subtitle"/>
    <w:basedOn w:val="Normal"/>
    <w:link w:val="SubtitleChar"/>
    <w:uiPriority w:val="11"/>
    <w:qFormat/>
    <w:rsid w:val="00FE2CB8"/>
    <w:pPr>
      <w:ind w:left="135"/>
      <w:jc w:val="center"/>
    </w:pPr>
    <w:rPr>
      <w:rFonts w:cs="Traditional Arabic"/>
      <w:b/>
      <w:bCs/>
      <w:sz w:val="28"/>
      <w:szCs w:val="28"/>
    </w:rPr>
  </w:style>
  <w:style w:type="character" w:customStyle="1" w:styleId="SubtitleChar">
    <w:name w:val="Subtitle Char"/>
    <w:basedOn w:val="DefaultParagraphFont"/>
    <w:link w:val="Subtitle"/>
    <w:uiPriority w:val="11"/>
    <w:locked/>
    <w:rsid w:val="00B4532E"/>
    <w:rPr>
      <w:rFonts w:asciiTheme="majorHAnsi" w:eastAsiaTheme="majorEastAsia" w:hAnsiTheme="majorHAnsi" w:cstheme="majorBidi"/>
      <w:sz w:val="24"/>
      <w:szCs w:val="24"/>
    </w:rPr>
  </w:style>
  <w:style w:type="paragraph" w:styleId="BodyText">
    <w:name w:val="Body Text"/>
    <w:basedOn w:val="Normal"/>
    <w:link w:val="BodyTextChar"/>
    <w:uiPriority w:val="99"/>
    <w:semiHidden/>
    <w:rsid w:val="00FE2CB8"/>
    <w:pPr>
      <w:jc w:val="both"/>
    </w:pPr>
    <w:rPr>
      <w:rFonts w:cs="Traditional Arabic"/>
    </w:rPr>
  </w:style>
  <w:style w:type="character" w:customStyle="1" w:styleId="BodyTextChar">
    <w:name w:val="Body Text Char"/>
    <w:basedOn w:val="DefaultParagraphFont"/>
    <w:link w:val="BodyText"/>
    <w:uiPriority w:val="99"/>
    <w:semiHidden/>
    <w:locked/>
    <w:rsid w:val="00DC4287"/>
    <w:rPr>
      <w:rFonts w:cs="Traditional Arabic"/>
    </w:rPr>
  </w:style>
  <w:style w:type="character" w:styleId="PageNumber">
    <w:name w:val="page number"/>
    <w:basedOn w:val="DefaultParagraphFont"/>
    <w:uiPriority w:val="99"/>
    <w:semiHidden/>
    <w:rsid w:val="00FE2CB8"/>
    <w:rPr>
      <w:rFonts w:cs="Times New Roman"/>
    </w:rPr>
  </w:style>
  <w:style w:type="paragraph" w:styleId="BodyText2">
    <w:name w:val="Body Text 2"/>
    <w:basedOn w:val="Normal"/>
    <w:link w:val="BodyText2Char"/>
    <w:uiPriority w:val="99"/>
    <w:semiHidden/>
    <w:rsid w:val="00FE2CB8"/>
    <w:pPr>
      <w:jc w:val="lowKashida"/>
    </w:pPr>
  </w:style>
  <w:style w:type="character" w:customStyle="1" w:styleId="BodyText2Char">
    <w:name w:val="Body Text 2 Char"/>
    <w:basedOn w:val="DefaultParagraphFont"/>
    <w:link w:val="BodyText2"/>
    <w:uiPriority w:val="99"/>
    <w:semiHidden/>
    <w:locked/>
    <w:rsid w:val="008625AF"/>
    <w:rPr>
      <w:rFonts w:cs="Times New Roman"/>
    </w:rPr>
  </w:style>
  <w:style w:type="paragraph" w:styleId="BodyText3">
    <w:name w:val="Body Text 3"/>
    <w:basedOn w:val="Normal"/>
    <w:link w:val="BodyText3Char"/>
    <w:uiPriority w:val="99"/>
    <w:semiHidden/>
    <w:rsid w:val="00FE2CB8"/>
    <w:pPr>
      <w:jc w:val="both"/>
    </w:pPr>
    <w:rPr>
      <w:rFonts w:cs="Traditional Arabic"/>
      <w:b/>
      <w:bCs/>
    </w:rPr>
  </w:style>
  <w:style w:type="character" w:customStyle="1" w:styleId="BodyText3Char">
    <w:name w:val="Body Text 3 Char"/>
    <w:basedOn w:val="DefaultParagraphFont"/>
    <w:link w:val="BodyText3"/>
    <w:uiPriority w:val="99"/>
    <w:semiHidden/>
    <w:locked/>
    <w:rsid w:val="000D23AB"/>
    <w:rPr>
      <w:rFonts w:cs="Traditional Arabic"/>
      <w:b/>
      <w:bCs/>
    </w:rPr>
  </w:style>
  <w:style w:type="paragraph" w:styleId="BodyTextIndent">
    <w:name w:val="Body Text Indent"/>
    <w:basedOn w:val="Normal"/>
    <w:link w:val="BodyTextIndentChar"/>
    <w:uiPriority w:val="99"/>
    <w:semiHidden/>
    <w:rsid w:val="00FE2CB8"/>
    <w:pPr>
      <w:overflowPunct/>
      <w:autoSpaceDE/>
      <w:autoSpaceDN/>
      <w:adjustRightInd/>
      <w:ind w:left="714" w:hanging="357"/>
      <w:jc w:val="lowKashida"/>
      <w:textAlignment w:val="auto"/>
    </w:pPr>
    <w:rPr>
      <w:sz w:val="24"/>
      <w:szCs w:val="24"/>
    </w:rPr>
  </w:style>
  <w:style w:type="character" w:customStyle="1" w:styleId="BodyTextIndentChar">
    <w:name w:val="Body Text Indent Char"/>
    <w:basedOn w:val="DefaultParagraphFont"/>
    <w:link w:val="BodyTextIndent"/>
    <w:uiPriority w:val="99"/>
    <w:semiHidden/>
    <w:locked/>
    <w:rsid w:val="00B4532E"/>
    <w:rPr>
      <w:rFonts w:cs="Times New Roman"/>
    </w:rPr>
  </w:style>
  <w:style w:type="paragraph" w:styleId="BodyTextIndent2">
    <w:name w:val="Body Text Indent 2"/>
    <w:basedOn w:val="Normal"/>
    <w:link w:val="BodyTextIndent2Char"/>
    <w:uiPriority w:val="99"/>
    <w:semiHidden/>
    <w:rsid w:val="00FE2CB8"/>
    <w:pPr>
      <w:ind w:left="44"/>
    </w:pPr>
  </w:style>
  <w:style w:type="character" w:customStyle="1" w:styleId="BodyTextIndent2Char">
    <w:name w:val="Body Text Indent 2 Char"/>
    <w:basedOn w:val="DefaultParagraphFont"/>
    <w:link w:val="BodyTextIndent2"/>
    <w:uiPriority w:val="99"/>
    <w:semiHidden/>
    <w:locked/>
    <w:rsid w:val="00B4532E"/>
    <w:rPr>
      <w:rFonts w:cs="Times New Roman"/>
    </w:rPr>
  </w:style>
  <w:style w:type="paragraph" w:styleId="BodyTextIndent3">
    <w:name w:val="Body Text Indent 3"/>
    <w:basedOn w:val="Normal"/>
    <w:link w:val="BodyTextIndent3Char"/>
    <w:uiPriority w:val="99"/>
    <w:semiHidden/>
    <w:rsid w:val="00FE2CB8"/>
    <w:pPr>
      <w:ind w:left="44"/>
      <w:jc w:val="lowKashida"/>
    </w:pPr>
    <w:rPr>
      <w:color w:val="000000"/>
    </w:rPr>
  </w:style>
  <w:style w:type="character" w:customStyle="1" w:styleId="BodyTextIndent3Char">
    <w:name w:val="Body Text Indent 3 Char"/>
    <w:basedOn w:val="DefaultParagraphFont"/>
    <w:link w:val="BodyTextIndent3"/>
    <w:uiPriority w:val="99"/>
    <w:semiHidden/>
    <w:locked/>
    <w:rsid w:val="00B4532E"/>
    <w:rPr>
      <w:rFonts w:cs="Times New Roman"/>
      <w:sz w:val="16"/>
      <w:szCs w:val="16"/>
    </w:rPr>
  </w:style>
  <w:style w:type="paragraph" w:styleId="BlockText">
    <w:name w:val="Block Text"/>
    <w:basedOn w:val="Normal"/>
    <w:rsid w:val="001F2744"/>
    <w:pPr>
      <w:spacing w:after="120"/>
      <w:ind w:left="1440" w:right="1440"/>
    </w:pPr>
  </w:style>
  <w:style w:type="paragraph" w:styleId="CommentText">
    <w:name w:val="annotation text"/>
    <w:basedOn w:val="Normal"/>
    <w:link w:val="CommentTextChar"/>
    <w:uiPriority w:val="99"/>
    <w:semiHidden/>
    <w:rsid w:val="001F2744"/>
  </w:style>
  <w:style w:type="character" w:customStyle="1" w:styleId="CommentTextChar">
    <w:name w:val="Comment Text Char"/>
    <w:basedOn w:val="DefaultParagraphFont"/>
    <w:link w:val="CommentText"/>
    <w:uiPriority w:val="99"/>
    <w:semiHidden/>
    <w:locked/>
    <w:rsid w:val="001F2744"/>
    <w:rPr>
      <w:rFonts w:cs="Times New Roman"/>
    </w:rPr>
  </w:style>
  <w:style w:type="paragraph" w:styleId="Index1">
    <w:name w:val="index 1"/>
    <w:basedOn w:val="Normal"/>
    <w:next w:val="Normal"/>
    <w:autoRedefine/>
    <w:uiPriority w:val="99"/>
    <w:semiHidden/>
    <w:unhideWhenUsed/>
    <w:rsid w:val="001F2744"/>
    <w:pPr>
      <w:ind w:left="200" w:hanging="200"/>
    </w:pPr>
  </w:style>
  <w:style w:type="paragraph" w:styleId="IndexHeading">
    <w:name w:val="index heading"/>
    <w:basedOn w:val="Normal"/>
    <w:next w:val="Index1"/>
    <w:uiPriority w:val="99"/>
    <w:semiHidden/>
    <w:rsid w:val="001F2744"/>
    <w:rPr>
      <w:rFonts w:ascii="Arial" w:hAnsi="Arial" w:cs="Arial"/>
      <w:b/>
      <w:bCs/>
    </w:rPr>
  </w:style>
  <w:style w:type="paragraph" w:styleId="ListParagraph">
    <w:name w:val="List Paragraph"/>
    <w:basedOn w:val="Normal"/>
    <w:uiPriority w:val="34"/>
    <w:qFormat/>
    <w:rsid w:val="001C78D5"/>
    <w:pPr>
      <w:overflowPunct/>
      <w:autoSpaceDE/>
      <w:autoSpaceDN/>
      <w:bidi/>
      <w:adjustRightInd/>
      <w:ind w:left="720"/>
      <w:textAlignment w:val="auto"/>
    </w:pPr>
    <w:rPr>
      <w:rFonts w:cs="Simplified Arabic"/>
      <w:noProof/>
      <w:sz w:val="24"/>
    </w:rPr>
  </w:style>
  <w:style w:type="paragraph" w:styleId="BalloonText">
    <w:name w:val="Balloon Text"/>
    <w:basedOn w:val="Normal"/>
    <w:link w:val="BalloonTextChar"/>
    <w:uiPriority w:val="99"/>
    <w:semiHidden/>
    <w:unhideWhenUsed/>
    <w:rsid w:val="003E58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E58F6"/>
    <w:rPr>
      <w:rFonts w:ascii="Tahoma" w:hAnsi="Tahoma" w:cs="Tahoma"/>
      <w:sz w:val="16"/>
      <w:szCs w:val="16"/>
      <w:lang w:val="en-US" w:eastAsia="en-US"/>
    </w:rPr>
  </w:style>
  <w:style w:type="paragraph" w:styleId="Revision">
    <w:name w:val="Revision"/>
    <w:hidden/>
    <w:uiPriority w:val="99"/>
    <w:semiHidden/>
    <w:rsid w:val="00F93470"/>
  </w:style>
  <w:style w:type="character" w:customStyle="1" w:styleId="hps">
    <w:name w:val="hps"/>
    <w:basedOn w:val="DefaultParagraphFont"/>
    <w:rsid w:val="004F26B2"/>
    <w:rPr>
      <w:rFonts w:cs="Times New Roman"/>
    </w:rPr>
  </w:style>
  <w:style w:type="character" w:customStyle="1" w:styleId="shorttext">
    <w:name w:val="short_text"/>
    <w:basedOn w:val="DefaultParagraphFont"/>
    <w:rsid w:val="00BD329D"/>
    <w:rPr>
      <w:rFonts w:cs="Times New Roman"/>
    </w:rPr>
  </w:style>
  <w:style w:type="character" w:customStyle="1" w:styleId="atn">
    <w:name w:val="atn"/>
    <w:basedOn w:val="DefaultParagraphFont"/>
    <w:rsid w:val="006A3BB8"/>
    <w:rPr>
      <w:rFonts w:cs="Times New Roman"/>
    </w:rPr>
  </w:style>
  <w:style w:type="paragraph" w:customStyle="1" w:styleId="xl23">
    <w:name w:val="xl23"/>
    <w:basedOn w:val="Normal"/>
    <w:rsid w:val="00981761"/>
    <w:pPr>
      <w:overflowPunct/>
      <w:autoSpaceDE/>
      <w:autoSpaceDN/>
      <w:adjustRightInd/>
      <w:spacing w:before="100" w:beforeAutospacing="1" w:after="100" w:afterAutospacing="1"/>
      <w:jc w:val="both"/>
      <w:textAlignment w:val="top"/>
    </w:pPr>
    <w:rPr>
      <w:rFonts w:eastAsia="Arial Unicode MS" w:cs="Arial Unicode MS"/>
      <w:sz w:val="24"/>
      <w:szCs w:val="24"/>
      <w:lang w:eastAsia="ar-SA"/>
    </w:rPr>
  </w:style>
  <w:style w:type="paragraph" w:styleId="FootnoteText">
    <w:name w:val="footnote text"/>
    <w:basedOn w:val="Normal"/>
    <w:link w:val="FootnoteTextChar"/>
    <w:rsid w:val="00750558"/>
    <w:pPr>
      <w:overflowPunct/>
      <w:autoSpaceDE/>
      <w:autoSpaceDN/>
      <w:adjustRightInd/>
      <w:textAlignment w:val="auto"/>
    </w:pPr>
    <w:rPr>
      <w:rFonts w:cs="Traditional Arabic"/>
      <w:noProof/>
      <w:szCs w:val="24"/>
      <w:lang w:eastAsia="ar-SA"/>
    </w:rPr>
  </w:style>
  <w:style w:type="character" w:customStyle="1" w:styleId="FootnoteTextChar">
    <w:name w:val="Footnote Text Char"/>
    <w:basedOn w:val="DefaultParagraphFont"/>
    <w:link w:val="FootnoteText"/>
    <w:locked/>
    <w:rsid w:val="00750558"/>
    <w:rPr>
      <w:rFonts w:cs="Traditional Arabic"/>
      <w:noProof/>
      <w:sz w:val="24"/>
      <w:szCs w:val="24"/>
      <w:lang w:eastAsia="ar-SA"/>
    </w:rPr>
  </w:style>
  <w:style w:type="character" w:styleId="FootnoteReference">
    <w:name w:val="footnote reference"/>
    <w:basedOn w:val="DefaultParagraphFont"/>
    <w:semiHidden/>
    <w:rsid w:val="00750558"/>
    <w:rPr>
      <w:rFonts w:cs="Times New Roman"/>
      <w:vertAlign w:val="superscript"/>
    </w:rPr>
  </w:style>
  <w:style w:type="table" w:styleId="TableGrid">
    <w:name w:val="Table Grid"/>
    <w:basedOn w:val="TableNormal"/>
    <w:uiPriority w:val="59"/>
    <w:rsid w:val="00195ED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93D80"/>
    <w:rPr>
      <w:sz w:val="16"/>
      <w:szCs w:val="16"/>
    </w:rPr>
  </w:style>
  <w:style w:type="paragraph" w:styleId="CommentSubject">
    <w:name w:val="annotation subject"/>
    <w:basedOn w:val="CommentText"/>
    <w:next w:val="CommentText"/>
    <w:link w:val="CommentSubjectChar"/>
    <w:uiPriority w:val="99"/>
    <w:semiHidden/>
    <w:unhideWhenUsed/>
    <w:rsid w:val="00B93D80"/>
    <w:rPr>
      <w:b/>
      <w:bCs/>
    </w:rPr>
  </w:style>
  <w:style w:type="character" w:customStyle="1" w:styleId="CommentSubjectChar">
    <w:name w:val="Comment Subject Char"/>
    <w:basedOn w:val="CommentTextChar"/>
    <w:link w:val="CommentSubject"/>
    <w:uiPriority w:val="99"/>
    <w:semiHidden/>
    <w:rsid w:val="00B93D80"/>
    <w:rPr>
      <w:rFonts w:cs="Times New Roman"/>
      <w:b/>
      <w:bCs/>
    </w:rPr>
  </w:style>
  <w:style w:type="character" w:customStyle="1" w:styleId="tlid-translation">
    <w:name w:val="tlid-translation"/>
    <w:basedOn w:val="DefaultParagraphFont"/>
    <w:rsid w:val="001128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614592">
      <w:bodyDiv w:val="1"/>
      <w:marLeft w:val="0"/>
      <w:marRight w:val="0"/>
      <w:marTop w:val="0"/>
      <w:marBottom w:val="0"/>
      <w:divBdr>
        <w:top w:val="none" w:sz="0" w:space="0" w:color="auto"/>
        <w:left w:val="none" w:sz="0" w:space="0" w:color="auto"/>
        <w:bottom w:val="none" w:sz="0" w:space="0" w:color="auto"/>
        <w:right w:val="none" w:sz="0" w:space="0" w:color="auto"/>
      </w:divBdr>
    </w:div>
    <w:div w:id="441732020">
      <w:bodyDiv w:val="1"/>
      <w:marLeft w:val="0"/>
      <w:marRight w:val="0"/>
      <w:marTop w:val="0"/>
      <w:marBottom w:val="0"/>
      <w:divBdr>
        <w:top w:val="none" w:sz="0" w:space="0" w:color="auto"/>
        <w:left w:val="none" w:sz="0" w:space="0" w:color="auto"/>
        <w:bottom w:val="none" w:sz="0" w:space="0" w:color="auto"/>
        <w:right w:val="none" w:sz="0" w:space="0" w:color="auto"/>
      </w:divBdr>
      <w:divsChild>
        <w:div w:id="1776904877">
          <w:marLeft w:val="0"/>
          <w:marRight w:val="0"/>
          <w:marTop w:val="0"/>
          <w:marBottom w:val="0"/>
          <w:divBdr>
            <w:top w:val="none" w:sz="0" w:space="0" w:color="auto"/>
            <w:left w:val="none" w:sz="0" w:space="0" w:color="auto"/>
            <w:bottom w:val="none" w:sz="0" w:space="0" w:color="auto"/>
            <w:right w:val="none" w:sz="0" w:space="0" w:color="auto"/>
          </w:divBdr>
          <w:divsChild>
            <w:div w:id="174882694">
              <w:marLeft w:val="0"/>
              <w:marRight w:val="0"/>
              <w:marTop w:val="0"/>
              <w:marBottom w:val="0"/>
              <w:divBdr>
                <w:top w:val="none" w:sz="0" w:space="0" w:color="auto"/>
                <w:left w:val="none" w:sz="0" w:space="0" w:color="auto"/>
                <w:bottom w:val="none" w:sz="0" w:space="0" w:color="auto"/>
                <w:right w:val="none" w:sz="0" w:space="0" w:color="auto"/>
              </w:divBdr>
              <w:divsChild>
                <w:div w:id="1903979011">
                  <w:marLeft w:val="0"/>
                  <w:marRight w:val="0"/>
                  <w:marTop w:val="0"/>
                  <w:marBottom w:val="0"/>
                  <w:divBdr>
                    <w:top w:val="none" w:sz="0" w:space="0" w:color="auto"/>
                    <w:left w:val="none" w:sz="0" w:space="0" w:color="auto"/>
                    <w:bottom w:val="none" w:sz="0" w:space="0" w:color="auto"/>
                    <w:right w:val="none" w:sz="0" w:space="0" w:color="auto"/>
                  </w:divBdr>
                  <w:divsChild>
                    <w:div w:id="2025667287">
                      <w:marLeft w:val="0"/>
                      <w:marRight w:val="0"/>
                      <w:marTop w:val="0"/>
                      <w:marBottom w:val="0"/>
                      <w:divBdr>
                        <w:top w:val="none" w:sz="0" w:space="0" w:color="auto"/>
                        <w:left w:val="none" w:sz="0" w:space="0" w:color="auto"/>
                        <w:bottom w:val="none" w:sz="0" w:space="0" w:color="auto"/>
                        <w:right w:val="none" w:sz="0" w:space="0" w:color="auto"/>
                      </w:divBdr>
                      <w:divsChild>
                        <w:div w:id="2125540805">
                          <w:marLeft w:val="0"/>
                          <w:marRight w:val="0"/>
                          <w:marTop w:val="0"/>
                          <w:marBottom w:val="0"/>
                          <w:divBdr>
                            <w:top w:val="none" w:sz="0" w:space="0" w:color="auto"/>
                            <w:left w:val="none" w:sz="0" w:space="0" w:color="auto"/>
                            <w:bottom w:val="none" w:sz="0" w:space="0" w:color="auto"/>
                            <w:right w:val="none" w:sz="0" w:space="0" w:color="auto"/>
                          </w:divBdr>
                          <w:divsChild>
                            <w:div w:id="1506745970">
                              <w:marLeft w:val="0"/>
                              <w:marRight w:val="0"/>
                              <w:marTop w:val="0"/>
                              <w:marBottom w:val="0"/>
                              <w:divBdr>
                                <w:top w:val="none" w:sz="0" w:space="0" w:color="auto"/>
                                <w:left w:val="none" w:sz="0" w:space="0" w:color="auto"/>
                                <w:bottom w:val="none" w:sz="0" w:space="0" w:color="auto"/>
                                <w:right w:val="none" w:sz="0" w:space="0" w:color="auto"/>
                              </w:divBdr>
                              <w:divsChild>
                                <w:div w:id="859469418">
                                  <w:marLeft w:val="0"/>
                                  <w:marRight w:val="0"/>
                                  <w:marTop w:val="0"/>
                                  <w:marBottom w:val="0"/>
                                  <w:divBdr>
                                    <w:top w:val="none" w:sz="0" w:space="0" w:color="auto"/>
                                    <w:left w:val="none" w:sz="0" w:space="0" w:color="auto"/>
                                    <w:bottom w:val="none" w:sz="0" w:space="0" w:color="auto"/>
                                    <w:right w:val="none" w:sz="0" w:space="0" w:color="auto"/>
                                  </w:divBdr>
                                  <w:divsChild>
                                    <w:div w:id="285357328">
                                      <w:marLeft w:val="0"/>
                                      <w:marRight w:val="0"/>
                                      <w:marTop w:val="0"/>
                                      <w:marBottom w:val="0"/>
                                      <w:divBdr>
                                        <w:top w:val="none" w:sz="0" w:space="0" w:color="auto"/>
                                        <w:left w:val="none" w:sz="0" w:space="0" w:color="auto"/>
                                        <w:bottom w:val="none" w:sz="0" w:space="0" w:color="auto"/>
                                        <w:right w:val="none" w:sz="0" w:space="0" w:color="auto"/>
                                      </w:divBdr>
                                      <w:divsChild>
                                        <w:div w:id="1812361308">
                                          <w:marLeft w:val="0"/>
                                          <w:marRight w:val="0"/>
                                          <w:marTop w:val="0"/>
                                          <w:marBottom w:val="330"/>
                                          <w:divBdr>
                                            <w:top w:val="none" w:sz="0" w:space="0" w:color="auto"/>
                                            <w:left w:val="none" w:sz="0" w:space="0" w:color="auto"/>
                                            <w:bottom w:val="none" w:sz="0" w:space="0" w:color="auto"/>
                                            <w:right w:val="none" w:sz="0" w:space="0" w:color="auto"/>
                                          </w:divBdr>
                                          <w:divsChild>
                                            <w:div w:id="136841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7005721">
      <w:bodyDiv w:val="1"/>
      <w:marLeft w:val="0"/>
      <w:marRight w:val="0"/>
      <w:marTop w:val="0"/>
      <w:marBottom w:val="0"/>
      <w:divBdr>
        <w:top w:val="none" w:sz="0" w:space="0" w:color="auto"/>
        <w:left w:val="none" w:sz="0" w:space="0" w:color="auto"/>
        <w:bottom w:val="none" w:sz="0" w:space="0" w:color="auto"/>
        <w:right w:val="none" w:sz="0" w:space="0" w:color="auto"/>
      </w:divBdr>
      <w:divsChild>
        <w:div w:id="922109784">
          <w:marLeft w:val="0"/>
          <w:marRight w:val="0"/>
          <w:marTop w:val="0"/>
          <w:marBottom w:val="0"/>
          <w:divBdr>
            <w:top w:val="none" w:sz="0" w:space="0" w:color="auto"/>
            <w:left w:val="none" w:sz="0" w:space="0" w:color="auto"/>
            <w:bottom w:val="none" w:sz="0" w:space="0" w:color="auto"/>
            <w:right w:val="none" w:sz="0" w:space="0" w:color="auto"/>
          </w:divBdr>
          <w:divsChild>
            <w:div w:id="526724467">
              <w:marLeft w:val="0"/>
              <w:marRight w:val="0"/>
              <w:marTop w:val="0"/>
              <w:marBottom w:val="0"/>
              <w:divBdr>
                <w:top w:val="none" w:sz="0" w:space="0" w:color="auto"/>
                <w:left w:val="none" w:sz="0" w:space="0" w:color="auto"/>
                <w:bottom w:val="none" w:sz="0" w:space="0" w:color="auto"/>
                <w:right w:val="none" w:sz="0" w:space="0" w:color="auto"/>
              </w:divBdr>
              <w:divsChild>
                <w:div w:id="993799068">
                  <w:marLeft w:val="0"/>
                  <w:marRight w:val="0"/>
                  <w:marTop w:val="0"/>
                  <w:marBottom w:val="0"/>
                  <w:divBdr>
                    <w:top w:val="none" w:sz="0" w:space="0" w:color="auto"/>
                    <w:left w:val="none" w:sz="0" w:space="0" w:color="auto"/>
                    <w:bottom w:val="none" w:sz="0" w:space="0" w:color="auto"/>
                    <w:right w:val="none" w:sz="0" w:space="0" w:color="auto"/>
                  </w:divBdr>
                  <w:divsChild>
                    <w:div w:id="1022895295">
                      <w:marLeft w:val="0"/>
                      <w:marRight w:val="0"/>
                      <w:marTop w:val="0"/>
                      <w:marBottom w:val="0"/>
                      <w:divBdr>
                        <w:top w:val="none" w:sz="0" w:space="0" w:color="auto"/>
                        <w:left w:val="none" w:sz="0" w:space="0" w:color="auto"/>
                        <w:bottom w:val="none" w:sz="0" w:space="0" w:color="auto"/>
                        <w:right w:val="none" w:sz="0" w:space="0" w:color="auto"/>
                      </w:divBdr>
                      <w:divsChild>
                        <w:div w:id="862324571">
                          <w:marLeft w:val="0"/>
                          <w:marRight w:val="0"/>
                          <w:marTop w:val="0"/>
                          <w:marBottom w:val="0"/>
                          <w:divBdr>
                            <w:top w:val="none" w:sz="0" w:space="0" w:color="auto"/>
                            <w:left w:val="none" w:sz="0" w:space="0" w:color="auto"/>
                            <w:bottom w:val="none" w:sz="0" w:space="0" w:color="auto"/>
                            <w:right w:val="none" w:sz="0" w:space="0" w:color="auto"/>
                          </w:divBdr>
                          <w:divsChild>
                            <w:div w:id="1058018644">
                              <w:marLeft w:val="0"/>
                              <w:marRight w:val="0"/>
                              <w:marTop w:val="0"/>
                              <w:marBottom w:val="0"/>
                              <w:divBdr>
                                <w:top w:val="none" w:sz="0" w:space="0" w:color="auto"/>
                                <w:left w:val="none" w:sz="0" w:space="0" w:color="auto"/>
                                <w:bottom w:val="none" w:sz="0" w:space="0" w:color="auto"/>
                                <w:right w:val="none" w:sz="0" w:space="0" w:color="auto"/>
                              </w:divBdr>
                              <w:divsChild>
                                <w:div w:id="1374503562">
                                  <w:marLeft w:val="0"/>
                                  <w:marRight w:val="0"/>
                                  <w:marTop w:val="0"/>
                                  <w:marBottom w:val="0"/>
                                  <w:divBdr>
                                    <w:top w:val="none" w:sz="0" w:space="0" w:color="auto"/>
                                    <w:left w:val="none" w:sz="0" w:space="0" w:color="auto"/>
                                    <w:bottom w:val="none" w:sz="0" w:space="0" w:color="auto"/>
                                    <w:right w:val="none" w:sz="0" w:space="0" w:color="auto"/>
                                  </w:divBdr>
                                  <w:divsChild>
                                    <w:div w:id="1175001889">
                                      <w:marLeft w:val="0"/>
                                      <w:marRight w:val="0"/>
                                      <w:marTop w:val="0"/>
                                      <w:marBottom w:val="0"/>
                                      <w:divBdr>
                                        <w:top w:val="none" w:sz="0" w:space="0" w:color="auto"/>
                                        <w:left w:val="none" w:sz="0" w:space="0" w:color="auto"/>
                                        <w:bottom w:val="none" w:sz="0" w:space="0" w:color="auto"/>
                                        <w:right w:val="none" w:sz="0" w:space="0" w:color="auto"/>
                                      </w:divBdr>
                                      <w:divsChild>
                                        <w:div w:id="1390032404">
                                          <w:marLeft w:val="0"/>
                                          <w:marRight w:val="0"/>
                                          <w:marTop w:val="0"/>
                                          <w:marBottom w:val="330"/>
                                          <w:divBdr>
                                            <w:top w:val="none" w:sz="0" w:space="0" w:color="auto"/>
                                            <w:left w:val="none" w:sz="0" w:space="0" w:color="auto"/>
                                            <w:bottom w:val="none" w:sz="0" w:space="0" w:color="auto"/>
                                            <w:right w:val="none" w:sz="0" w:space="0" w:color="auto"/>
                                          </w:divBdr>
                                          <w:divsChild>
                                            <w:div w:id="4236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11095424">
      <w:bodyDiv w:val="1"/>
      <w:marLeft w:val="0"/>
      <w:marRight w:val="0"/>
      <w:marTop w:val="0"/>
      <w:marBottom w:val="0"/>
      <w:divBdr>
        <w:top w:val="none" w:sz="0" w:space="0" w:color="auto"/>
        <w:left w:val="none" w:sz="0" w:space="0" w:color="auto"/>
        <w:bottom w:val="none" w:sz="0" w:space="0" w:color="auto"/>
        <w:right w:val="none" w:sz="0" w:space="0" w:color="auto"/>
      </w:divBdr>
    </w:div>
    <w:div w:id="840047129">
      <w:bodyDiv w:val="1"/>
      <w:marLeft w:val="0"/>
      <w:marRight w:val="0"/>
      <w:marTop w:val="0"/>
      <w:marBottom w:val="0"/>
      <w:divBdr>
        <w:top w:val="none" w:sz="0" w:space="0" w:color="auto"/>
        <w:left w:val="none" w:sz="0" w:space="0" w:color="auto"/>
        <w:bottom w:val="none" w:sz="0" w:space="0" w:color="auto"/>
        <w:right w:val="none" w:sz="0" w:space="0" w:color="auto"/>
      </w:divBdr>
    </w:div>
    <w:div w:id="919100886">
      <w:bodyDiv w:val="1"/>
      <w:marLeft w:val="0"/>
      <w:marRight w:val="0"/>
      <w:marTop w:val="0"/>
      <w:marBottom w:val="0"/>
      <w:divBdr>
        <w:top w:val="none" w:sz="0" w:space="0" w:color="auto"/>
        <w:left w:val="none" w:sz="0" w:space="0" w:color="auto"/>
        <w:bottom w:val="none" w:sz="0" w:space="0" w:color="auto"/>
        <w:right w:val="none" w:sz="0" w:space="0" w:color="auto"/>
      </w:divBdr>
    </w:div>
    <w:div w:id="970286442">
      <w:bodyDiv w:val="1"/>
      <w:marLeft w:val="0"/>
      <w:marRight w:val="0"/>
      <w:marTop w:val="0"/>
      <w:marBottom w:val="0"/>
      <w:divBdr>
        <w:top w:val="none" w:sz="0" w:space="0" w:color="auto"/>
        <w:left w:val="none" w:sz="0" w:space="0" w:color="auto"/>
        <w:bottom w:val="none" w:sz="0" w:space="0" w:color="auto"/>
        <w:right w:val="none" w:sz="0" w:space="0" w:color="auto"/>
      </w:divBdr>
      <w:divsChild>
        <w:div w:id="1799102017">
          <w:marLeft w:val="0"/>
          <w:marRight w:val="0"/>
          <w:marTop w:val="0"/>
          <w:marBottom w:val="0"/>
          <w:divBdr>
            <w:top w:val="none" w:sz="0" w:space="0" w:color="auto"/>
            <w:left w:val="none" w:sz="0" w:space="0" w:color="auto"/>
            <w:bottom w:val="none" w:sz="0" w:space="0" w:color="auto"/>
            <w:right w:val="none" w:sz="0" w:space="0" w:color="auto"/>
          </w:divBdr>
          <w:divsChild>
            <w:div w:id="1139495214">
              <w:marLeft w:val="0"/>
              <w:marRight w:val="0"/>
              <w:marTop w:val="0"/>
              <w:marBottom w:val="0"/>
              <w:divBdr>
                <w:top w:val="none" w:sz="0" w:space="0" w:color="auto"/>
                <w:left w:val="none" w:sz="0" w:space="0" w:color="auto"/>
                <w:bottom w:val="none" w:sz="0" w:space="0" w:color="auto"/>
                <w:right w:val="none" w:sz="0" w:space="0" w:color="auto"/>
              </w:divBdr>
              <w:divsChild>
                <w:div w:id="42484802">
                  <w:marLeft w:val="0"/>
                  <w:marRight w:val="0"/>
                  <w:marTop w:val="0"/>
                  <w:marBottom w:val="0"/>
                  <w:divBdr>
                    <w:top w:val="none" w:sz="0" w:space="0" w:color="auto"/>
                    <w:left w:val="none" w:sz="0" w:space="0" w:color="auto"/>
                    <w:bottom w:val="none" w:sz="0" w:space="0" w:color="auto"/>
                    <w:right w:val="none" w:sz="0" w:space="0" w:color="auto"/>
                  </w:divBdr>
                  <w:divsChild>
                    <w:div w:id="2005085254">
                      <w:marLeft w:val="0"/>
                      <w:marRight w:val="0"/>
                      <w:marTop w:val="0"/>
                      <w:marBottom w:val="0"/>
                      <w:divBdr>
                        <w:top w:val="none" w:sz="0" w:space="0" w:color="auto"/>
                        <w:left w:val="none" w:sz="0" w:space="0" w:color="auto"/>
                        <w:bottom w:val="none" w:sz="0" w:space="0" w:color="auto"/>
                        <w:right w:val="none" w:sz="0" w:space="0" w:color="auto"/>
                      </w:divBdr>
                      <w:divsChild>
                        <w:div w:id="598568480">
                          <w:marLeft w:val="0"/>
                          <w:marRight w:val="0"/>
                          <w:marTop w:val="0"/>
                          <w:marBottom w:val="0"/>
                          <w:divBdr>
                            <w:top w:val="none" w:sz="0" w:space="0" w:color="auto"/>
                            <w:left w:val="none" w:sz="0" w:space="0" w:color="auto"/>
                            <w:bottom w:val="none" w:sz="0" w:space="0" w:color="auto"/>
                            <w:right w:val="none" w:sz="0" w:space="0" w:color="auto"/>
                          </w:divBdr>
                          <w:divsChild>
                            <w:div w:id="1733844249">
                              <w:marLeft w:val="0"/>
                              <w:marRight w:val="0"/>
                              <w:marTop w:val="0"/>
                              <w:marBottom w:val="0"/>
                              <w:divBdr>
                                <w:top w:val="none" w:sz="0" w:space="0" w:color="auto"/>
                                <w:left w:val="none" w:sz="0" w:space="0" w:color="auto"/>
                                <w:bottom w:val="none" w:sz="0" w:space="0" w:color="auto"/>
                                <w:right w:val="none" w:sz="0" w:space="0" w:color="auto"/>
                              </w:divBdr>
                              <w:divsChild>
                                <w:div w:id="890968449">
                                  <w:marLeft w:val="0"/>
                                  <w:marRight w:val="0"/>
                                  <w:marTop w:val="0"/>
                                  <w:marBottom w:val="0"/>
                                  <w:divBdr>
                                    <w:top w:val="none" w:sz="0" w:space="0" w:color="auto"/>
                                    <w:left w:val="none" w:sz="0" w:space="0" w:color="auto"/>
                                    <w:bottom w:val="none" w:sz="0" w:space="0" w:color="auto"/>
                                    <w:right w:val="none" w:sz="0" w:space="0" w:color="auto"/>
                                  </w:divBdr>
                                  <w:divsChild>
                                    <w:div w:id="635180011">
                                      <w:marLeft w:val="0"/>
                                      <w:marRight w:val="0"/>
                                      <w:marTop w:val="0"/>
                                      <w:marBottom w:val="0"/>
                                      <w:divBdr>
                                        <w:top w:val="none" w:sz="0" w:space="0" w:color="auto"/>
                                        <w:left w:val="none" w:sz="0" w:space="0" w:color="auto"/>
                                        <w:bottom w:val="none" w:sz="0" w:space="0" w:color="auto"/>
                                        <w:right w:val="none" w:sz="0" w:space="0" w:color="auto"/>
                                      </w:divBdr>
                                      <w:divsChild>
                                        <w:div w:id="1163736139">
                                          <w:marLeft w:val="0"/>
                                          <w:marRight w:val="0"/>
                                          <w:marTop w:val="0"/>
                                          <w:marBottom w:val="330"/>
                                          <w:divBdr>
                                            <w:top w:val="none" w:sz="0" w:space="0" w:color="auto"/>
                                            <w:left w:val="none" w:sz="0" w:space="0" w:color="auto"/>
                                            <w:bottom w:val="none" w:sz="0" w:space="0" w:color="auto"/>
                                            <w:right w:val="none" w:sz="0" w:space="0" w:color="auto"/>
                                          </w:divBdr>
                                          <w:divsChild>
                                            <w:div w:id="812409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5182637">
      <w:bodyDiv w:val="1"/>
      <w:marLeft w:val="0"/>
      <w:marRight w:val="0"/>
      <w:marTop w:val="0"/>
      <w:marBottom w:val="0"/>
      <w:divBdr>
        <w:top w:val="none" w:sz="0" w:space="0" w:color="auto"/>
        <w:left w:val="none" w:sz="0" w:space="0" w:color="auto"/>
        <w:bottom w:val="none" w:sz="0" w:space="0" w:color="auto"/>
        <w:right w:val="none" w:sz="0" w:space="0" w:color="auto"/>
      </w:divBdr>
      <w:divsChild>
        <w:div w:id="1113666308">
          <w:marLeft w:val="0"/>
          <w:marRight w:val="0"/>
          <w:marTop w:val="0"/>
          <w:marBottom w:val="0"/>
          <w:divBdr>
            <w:top w:val="none" w:sz="0" w:space="0" w:color="auto"/>
            <w:left w:val="none" w:sz="0" w:space="0" w:color="auto"/>
            <w:bottom w:val="none" w:sz="0" w:space="0" w:color="auto"/>
            <w:right w:val="none" w:sz="0" w:space="0" w:color="auto"/>
          </w:divBdr>
          <w:divsChild>
            <w:div w:id="531844854">
              <w:marLeft w:val="0"/>
              <w:marRight w:val="0"/>
              <w:marTop w:val="0"/>
              <w:marBottom w:val="0"/>
              <w:divBdr>
                <w:top w:val="none" w:sz="0" w:space="0" w:color="auto"/>
                <w:left w:val="none" w:sz="0" w:space="0" w:color="auto"/>
                <w:bottom w:val="none" w:sz="0" w:space="0" w:color="auto"/>
                <w:right w:val="none" w:sz="0" w:space="0" w:color="auto"/>
              </w:divBdr>
              <w:divsChild>
                <w:div w:id="969361721">
                  <w:marLeft w:val="0"/>
                  <w:marRight w:val="0"/>
                  <w:marTop w:val="0"/>
                  <w:marBottom w:val="0"/>
                  <w:divBdr>
                    <w:top w:val="none" w:sz="0" w:space="0" w:color="auto"/>
                    <w:left w:val="none" w:sz="0" w:space="0" w:color="auto"/>
                    <w:bottom w:val="none" w:sz="0" w:space="0" w:color="auto"/>
                    <w:right w:val="none" w:sz="0" w:space="0" w:color="auto"/>
                  </w:divBdr>
                  <w:divsChild>
                    <w:div w:id="2038001917">
                      <w:marLeft w:val="0"/>
                      <w:marRight w:val="0"/>
                      <w:marTop w:val="0"/>
                      <w:marBottom w:val="0"/>
                      <w:divBdr>
                        <w:top w:val="none" w:sz="0" w:space="0" w:color="auto"/>
                        <w:left w:val="none" w:sz="0" w:space="0" w:color="auto"/>
                        <w:bottom w:val="none" w:sz="0" w:space="0" w:color="auto"/>
                        <w:right w:val="none" w:sz="0" w:space="0" w:color="auto"/>
                      </w:divBdr>
                      <w:divsChild>
                        <w:div w:id="675348970">
                          <w:marLeft w:val="0"/>
                          <w:marRight w:val="0"/>
                          <w:marTop w:val="0"/>
                          <w:marBottom w:val="0"/>
                          <w:divBdr>
                            <w:top w:val="none" w:sz="0" w:space="0" w:color="auto"/>
                            <w:left w:val="none" w:sz="0" w:space="0" w:color="auto"/>
                            <w:bottom w:val="none" w:sz="0" w:space="0" w:color="auto"/>
                            <w:right w:val="none" w:sz="0" w:space="0" w:color="auto"/>
                          </w:divBdr>
                          <w:divsChild>
                            <w:div w:id="1751462499">
                              <w:marLeft w:val="0"/>
                              <w:marRight w:val="0"/>
                              <w:marTop w:val="0"/>
                              <w:marBottom w:val="0"/>
                              <w:divBdr>
                                <w:top w:val="none" w:sz="0" w:space="0" w:color="auto"/>
                                <w:left w:val="none" w:sz="0" w:space="0" w:color="auto"/>
                                <w:bottom w:val="none" w:sz="0" w:space="0" w:color="auto"/>
                                <w:right w:val="none" w:sz="0" w:space="0" w:color="auto"/>
                              </w:divBdr>
                              <w:divsChild>
                                <w:div w:id="359360425">
                                  <w:marLeft w:val="0"/>
                                  <w:marRight w:val="0"/>
                                  <w:marTop w:val="0"/>
                                  <w:marBottom w:val="0"/>
                                  <w:divBdr>
                                    <w:top w:val="none" w:sz="0" w:space="0" w:color="auto"/>
                                    <w:left w:val="none" w:sz="0" w:space="0" w:color="auto"/>
                                    <w:bottom w:val="none" w:sz="0" w:space="0" w:color="auto"/>
                                    <w:right w:val="none" w:sz="0" w:space="0" w:color="auto"/>
                                  </w:divBdr>
                                  <w:divsChild>
                                    <w:div w:id="1575235594">
                                      <w:marLeft w:val="0"/>
                                      <w:marRight w:val="0"/>
                                      <w:marTop w:val="0"/>
                                      <w:marBottom w:val="0"/>
                                      <w:divBdr>
                                        <w:top w:val="none" w:sz="0" w:space="0" w:color="auto"/>
                                        <w:left w:val="none" w:sz="0" w:space="0" w:color="auto"/>
                                        <w:bottom w:val="none" w:sz="0" w:space="0" w:color="auto"/>
                                        <w:right w:val="none" w:sz="0" w:space="0" w:color="auto"/>
                                      </w:divBdr>
                                      <w:divsChild>
                                        <w:div w:id="1731611165">
                                          <w:marLeft w:val="0"/>
                                          <w:marRight w:val="0"/>
                                          <w:marTop w:val="0"/>
                                          <w:marBottom w:val="330"/>
                                          <w:divBdr>
                                            <w:top w:val="none" w:sz="0" w:space="0" w:color="auto"/>
                                            <w:left w:val="none" w:sz="0" w:space="0" w:color="auto"/>
                                            <w:bottom w:val="none" w:sz="0" w:space="0" w:color="auto"/>
                                            <w:right w:val="none" w:sz="0" w:space="0" w:color="auto"/>
                                          </w:divBdr>
                                          <w:divsChild>
                                            <w:div w:id="11383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02787544">
      <w:bodyDiv w:val="1"/>
      <w:marLeft w:val="0"/>
      <w:marRight w:val="0"/>
      <w:marTop w:val="0"/>
      <w:marBottom w:val="0"/>
      <w:divBdr>
        <w:top w:val="none" w:sz="0" w:space="0" w:color="auto"/>
        <w:left w:val="none" w:sz="0" w:space="0" w:color="auto"/>
        <w:bottom w:val="none" w:sz="0" w:space="0" w:color="auto"/>
        <w:right w:val="none" w:sz="0" w:space="0" w:color="auto"/>
      </w:divBdr>
      <w:divsChild>
        <w:div w:id="1012486258">
          <w:marLeft w:val="0"/>
          <w:marRight w:val="0"/>
          <w:marTop w:val="0"/>
          <w:marBottom w:val="0"/>
          <w:divBdr>
            <w:top w:val="none" w:sz="0" w:space="0" w:color="auto"/>
            <w:left w:val="none" w:sz="0" w:space="0" w:color="auto"/>
            <w:bottom w:val="none" w:sz="0" w:space="0" w:color="auto"/>
            <w:right w:val="none" w:sz="0" w:space="0" w:color="auto"/>
          </w:divBdr>
          <w:divsChild>
            <w:div w:id="1952128320">
              <w:marLeft w:val="0"/>
              <w:marRight w:val="0"/>
              <w:marTop w:val="0"/>
              <w:marBottom w:val="0"/>
              <w:divBdr>
                <w:top w:val="none" w:sz="0" w:space="0" w:color="auto"/>
                <w:left w:val="none" w:sz="0" w:space="0" w:color="auto"/>
                <w:bottom w:val="none" w:sz="0" w:space="0" w:color="auto"/>
                <w:right w:val="none" w:sz="0" w:space="0" w:color="auto"/>
              </w:divBdr>
              <w:divsChild>
                <w:div w:id="1057706600">
                  <w:marLeft w:val="0"/>
                  <w:marRight w:val="0"/>
                  <w:marTop w:val="0"/>
                  <w:marBottom w:val="0"/>
                  <w:divBdr>
                    <w:top w:val="none" w:sz="0" w:space="0" w:color="auto"/>
                    <w:left w:val="none" w:sz="0" w:space="0" w:color="auto"/>
                    <w:bottom w:val="none" w:sz="0" w:space="0" w:color="auto"/>
                    <w:right w:val="none" w:sz="0" w:space="0" w:color="auto"/>
                  </w:divBdr>
                  <w:divsChild>
                    <w:div w:id="795025765">
                      <w:marLeft w:val="0"/>
                      <w:marRight w:val="0"/>
                      <w:marTop w:val="0"/>
                      <w:marBottom w:val="0"/>
                      <w:divBdr>
                        <w:top w:val="none" w:sz="0" w:space="0" w:color="auto"/>
                        <w:left w:val="none" w:sz="0" w:space="0" w:color="auto"/>
                        <w:bottom w:val="none" w:sz="0" w:space="0" w:color="auto"/>
                        <w:right w:val="none" w:sz="0" w:space="0" w:color="auto"/>
                      </w:divBdr>
                      <w:divsChild>
                        <w:div w:id="127826250">
                          <w:marLeft w:val="0"/>
                          <w:marRight w:val="0"/>
                          <w:marTop w:val="0"/>
                          <w:marBottom w:val="0"/>
                          <w:divBdr>
                            <w:top w:val="none" w:sz="0" w:space="0" w:color="auto"/>
                            <w:left w:val="none" w:sz="0" w:space="0" w:color="auto"/>
                            <w:bottom w:val="none" w:sz="0" w:space="0" w:color="auto"/>
                            <w:right w:val="none" w:sz="0" w:space="0" w:color="auto"/>
                          </w:divBdr>
                          <w:divsChild>
                            <w:div w:id="761100236">
                              <w:marLeft w:val="0"/>
                              <w:marRight w:val="0"/>
                              <w:marTop w:val="0"/>
                              <w:marBottom w:val="0"/>
                              <w:divBdr>
                                <w:top w:val="none" w:sz="0" w:space="0" w:color="auto"/>
                                <w:left w:val="none" w:sz="0" w:space="0" w:color="auto"/>
                                <w:bottom w:val="none" w:sz="0" w:space="0" w:color="auto"/>
                                <w:right w:val="none" w:sz="0" w:space="0" w:color="auto"/>
                              </w:divBdr>
                              <w:divsChild>
                                <w:div w:id="1818303037">
                                  <w:marLeft w:val="0"/>
                                  <w:marRight w:val="0"/>
                                  <w:marTop w:val="0"/>
                                  <w:marBottom w:val="0"/>
                                  <w:divBdr>
                                    <w:top w:val="none" w:sz="0" w:space="0" w:color="auto"/>
                                    <w:left w:val="none" w:sz="0" w:space="0" w:color="auto"/>
                                    <w:bottom w:val="none" w:sz="0" w:space="0" w:color="auto"/>
                                    <w:right w:val="none" w:sz="0" w:space="0" w:color="auto"/>
                                  </w:divBdr>
                                  <w:divsChild>
                                    <w:div w:id="2055735763">
                                      <w:marLeft w:val="0"/>
                                      <w:marRight w:val="0"/>
                                      <w:marTop w:val="0"/>
                                      <w:marBottom w:val="0"/>
                                      <w:divBdr>
                                        <w:top w:val="none" w:sz="0" w:space="0" w:color="auto"/>
                                        <w:left w:val="none" w:sz="0" w:space="0" w:color="auto"/>
                                        <w:bottom w:val="none" w:sz="0" w:space="0" w:color="auto"/>
                                        <w:right w:val="none" w:sz="0" w:space="0" w:color="auto"/>
                                      </w:divBdr>
                                      <w:divsChild>
                                        <w:div w:id="479661420">
                                          <w:marLeft w:val="0"/>
                                          <w:marRight w:val="0"/>
                                          <w:marTop w:val="0"/>
                                          <w:marBottom w:val="330"/>
                                          <w:divBdr>
                                            <w:top w:val="none" w:sz="0" w:space="0" w:color="auto"/>
                                            <w:left w:val="none" w:sz="0" w:space="0" w:color="auto"/>
                                            <w:bottom w:val="none" w:sz="0" w:space="0" w:color="auto"/>
                                            <w:right w:val="none" w:sz="0" w:space="0" w:color="auto"/>
                                          </w:divBdr>
                                          <w:divsChild>
                                            <w:div w:id="31275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9507416">
      <w:bodyDiv w:val="1"/>
      <w:marLeft w:val="0"/>
      <w:marRight w:val="0"/>
      <w:marTop w:val="0"/>
      <w:marBottom w:val="0"/>
      <w:divBdr>
        <w:top w:val="none" w:sz="0" w:space="0" w:color="auto"/>
        <w:left w:val="none" w:sz="0" w:space="0" w:color="auto"/>
        <w:bottom w:val="none" w:sz="0" w:space="0" w:color="auto"/>
        <w:right w:val="none" w:sz="0" w:space="0" w:color="auto"/>
      </w:divBdr>
    </w:div>
    <w:div w:id="1508986273">
      <w:bodyDiv w:val="1"/>
      <w:marLeft w:val="0"/>
      <w:marRight w:val="0"/>
      <w:marTop w:val="0"/>
      <w:marBottom w:val="0"/>
      <w:divBdr>
        <w:top w:val="none" w:sz="0" w:space="0" w:color="auto"/>
        <w:left w:val="none" w:sz="0" w:space="0" w:color="auto"/>
        <w:bottom w:val="none" w:sz="0" w:space="0" w:color="auto"/>
        <w:right w:val="none" w:sz="0" w:space="0" w:color="auto"/>
      </w:divBdr>
      <w:divsChild>
        <w:div w:id="1284771400">
          <w:marLeft w:val="0"/>
          <w:marRight w:val="0"/>
          <w:marTop w:val="0"/>
          <w:marBottom w:val="0"/>
          <w:divBdr>
            <w:top w:val="none" w:sz="0" w:space="0" w:color="auto"/>
            <w:left w:val="none" w:sz="0" w:space="0" w:color="auto"/>
            <w:bottom w:val="none" w:sz="0" w:space="0" w:color="auto"/>
            <w:right w:val="none" w:sz="0" w:space="0" w:color="auto"/>
          </w:divBdr>
          <w:divsChild>
            <w:div w:id="1100836410">
              <w:marLeft w:val="0"/>
              <w:marRight w:val="0"/>
              <w:marTop w:val="0"/>
              <w:marBottom w:val="0"/>
              <w:divBdr>
                <w:top w:val="none" w:sz="0" w:space="0" w:color="auto"/>
                <w:left w:val="none" w:sz="0" w:space="0" w:color="auto"/>
                <w:bottom w:val="none" w:sz="0" w:space="0" w:color="auto"/>
                <w:right w:val="none" w:sz="0" w:space="0" w:color="auto"/>
              </w:divBdr>
              <w:divsChild>
                <w:div w:id="1752316487">
                  <w:marLeft w:val="0"/>
                  <w:marRight w:val="0"/>
                  <w:marTop w:val="0"/>
                  <w:marBottom w:val="0"/>
                  <w:divBdr>
                    <w:top w:val="none" w:sz="0" w:space="0" w:color="auto"/>
                    <w:left w:val="none" w:sz="0" w:space="0" w:color="auto"/>
                    <w:bottom w:val="none" w:sz="0" w:space="0" w:color="auto"/>
                    <w:right w:val="none" w:sz="0" w:space="0" w:color="auto"/>
                  </w:divBdr>
                  <w:divsChild>
                    <w:div w:id="1618171869">
                      <w:marLeft w:val="0"/>
                      <w:marRight w:val="0"/>
                      <w:marTop w:val="0"/>
                      <w:marBottom w:val="0"/>
                      <w:divBdr>
                        <w:top w:val="none" w:sz="0" w:space="0" w:color="auto"/>
                        <w:left w:val="none" w:sz="0" w:space="0" w:color="auto"/>
                        <w:bottom w:val="none" w:sz="0" w:space="0" w:color="auto"/>
                        <w:right w:val="none" w:sz="0" w:space="0" w:color="auto"/>
                      </w:divBdr>
                      <w:divsChild>
                        <w:div w:id="556552393">
                          <w:marLeft w:val="0"/>
                          <w:marRight w:val="0"/>
                          <w:marTop w:val="0"/>
                          <w:marBottom w:val="0"/>
                          <w:divBdr>
                            <w:top w:val="none" w:sz="0" w:space="0" w:color="auto"/>
                            <w:left w:val="none" w:sz="0" w:space="0" w:color="auto"/>
                            <w:bottom w:val="none" w:sz="0" w:space="0" w:color="auto"/>
                            <w:right w:val="none" w:sz="0" w:space="0" w:color="auto"/>
                          </w:divBdr>
                          <w:divsChild>
                            <w:div w:id="1149324317">
                              <w:marLeft w:val="0"/>
                              <w:marRight w:val="0"/>
                              <w:marTop w:val="0"/>
                              <w:marBottom w:val="0"/>
                              <w:divBdr>
                                <w:top w:val="none" w:sz="0" w:space="0" w:color="auto"/>
                                <w:left w:val="none" w:sz="0" w:space="0" w:color="auto"/>
                                <w:bottom w:val="none" w:sz="0" w:space="0" w:color="auto"/>
                                <w:right w:val="none" w:sz="0" w:space="0" w:color="auto"/>
                              </w:divBdr>
                              <w:divsChild>
                                <w:div w:id="249507274">
                                  <w:marLeft w:val="0"/>
                                  <w:marRight w:val="0"/>
                                  <w:marTop w:val="0"/>
                                  <w:marBottom w:val="0"/>
                                  <w:divBdr>
                                    <w:top w:val="none" w:sz="0" w:space="0" w:color="auto"/>
                                    <w:left w:val="none" w:sz="0" w:space="0" w:color="auto"/>
                                    <w:bottom w:val="none" w:sz="0" w:space="0" w:color="auto"/>
                                    <w:right w:val="none" w:sz="0" w:space="0" w:color="auto"/>
                                  </w:divBdr>
                                  <w:divsChild>
                                    <w:div w:id="1391032209">
                                      <w:marLeft w:val="0"/>
                                      <w:marRight w:val="0"/>
                                      <w:marTop w:val="0"/>
                                      <w:marBottom w:val="0"/>
                                      <w:divBdr>
                                        <w:top w:val="none" w:sz="0" w:space="0" w:color="auto"/>
                                        <w:left w:val="none" w:sz="0" w:space="0" w:color="auto"/>
                                        <w:bottom w:val="none" w:sz="0" w:space="0" w:color="auto"/>
                                        <w:right w:val="none" w:sz="0" w:space="0" w:color="auto"/>
                                      </w:divBdr>
                                      <w:divsChild>
                                        <w:div w:id="1715695683">
                                          <w:marLeft w:val="0"/>
                                          <w:marRight w:val="0"/>
                                          <w:marTop w:val="0"/>
                                          <w:marBottom w:val="330"/>
                                          <w:divBdr>
                                            <w:top w:val="none" w:sz="0" w:space="0" w:color="auto"/>
                                            <w:left w:val="none" w:sz="0" w:space="0" w:color="auto"/>
                                            <w:bottom w:val="none" w:sz="0" w:space="0" w:color="auto"/>
                                            <w:right w:val="none" w:sz="0" w:space="0" w:color="auto"/>
                                          </w:divBdr>
                                          <w:divsChild>
                                            <w:div w:id="171739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68575636">
      <w:bodyDiv w:val="1"/>
      <w:marLeft w:val="0"/>
      <w:marRight w:val="0"/>
      <w:marTop w:val="0"/>
      <w:marBottom w:val="0"/>
      <w:divBdr>
        <w:top w:val="none" w:sz="0" w:space="0" w:color="auto"/>
        <w:left w:val="none" w:sz="0" w:space="0" w:color="auto"/>
        <w:bottom w:val="none" w:sz="0" w:space="0" w:color="auto"/>
        <w:right w:val="none" w:sz="0" w:space="0" w:color="auto"/>
      </w:divBdr>
    </w:div>
    <w:div w:id="1843625677">
      <w:marLeft w:val="0"/>
      <w:marRight w:val="0"/>
      <w:marTop w:val="0"/>
      <w:marBottom w:val="0"/>
      <w:divBdr>
        <w:top w:val="none" w:sz="0" w:space="0" w:color="auto"/>
        <w:left w:val="none" w:sz="0" w:space="0" w:color="auto"/>
        <w:bottom w:val="none" w:sz="0" w:space="0" w:color="auto"/>
        <w:right w:val="none" w:sz="0" w:space="0" w:color="auto"/>
      </w:divBdr>
    </w:div>
    <w:div w:id="2040936651">
      <w:bodyDiv w:val="1"/>
      <w:marLeft w:val="0"/>
      <w:marRight w:val="0"/>
      <w:marTop w:val="0"/>
      <w:marBottom w:val="0"/>
      <w:divBdr>
        <w:top w:val="none" w:sz="0" w:space="0" w:color="auto"/>
        <w:left w:val="none" w:sz="0" w:space="0" w:color="auto"/>
        <w:bottom w:val="none" w:sz="0" w:space="0" w:color="auto"/>
        <w:right w:val="none" w:sz="0" w:space="0" w:color="auto"/>
      </w:divBdr>
      <w:divsChild>
        <w:div w:id="1188719300">
          <w:marLeft w:val="0"/>
          <w:marRight w:val="0"/>
          <w:marTop w:val="0"/>
          <w:marBottom w:val="0"/>
          <w:divBdr>
            <w:top w:val="none" w:sz="0" w:space="0" w:color="auto"/>
            <w:left w:val="none" w:sz="0" w:space="0" w:color="auto"/>
            <w:bottom w:val="none" w:sz="0" w:space="0" w:color="auto"/>
            <w:right w:val="none" w:sz="0" w:space="0" w:color="auto"/>
          </w:divBdr>
          <w:divsChild>
            <w:div w:id="1202786781">
              <w:marLeft w:val="0"/>
              <w:marRight w:val="0"/>
              <w:marTop w:val="0"/>
              <w:marBottom w:val="0"/>
              <w:divBdr>
                <w:top w:val="none" w:sz="0" w:space="0" w:color="auto"/>
                <w:left w:val="none" w:sz="0" w:space="0" w:color="auto"/>
                <w:bottom w:val="none" w:sz="0" w:space="0" w:color="auto"/>
                <w:right w:val="none" w:sz="0" w:space="0" w:color="auto"/>
              </w:divBdr>
              <w:divsChild>
                <w:div w:id="235674988">
                  <w:marLeft w:val="0"/>
                  <w:marRight w:val="0"/>
                  <w:marTop w:val="0"/>
                  <w:marBottom w:val="0"/>
                  <w:divBdr>
                    <w:top w:val="none" w:sz="0" w:space="0" w:color="auto"/>
                    <w:left w:val="none" w:sz="0" w:space="0" w:color="auto"/>
                    <w:bottom w:val="none" w:sz="0" w:space="0" w:color="auto"/>
                    <w:right w:val="none" w:sz="0" w:space="0" w:color="auto"/>
                  </w:divBdr>
                  <w:divsChild>
                    <w:div w:id="825171190">
                      <w:marLeft w:val="0"/>
                      <w:marRight w:val="0"/>
                      <w:marTop w:val="0"/>
                      <w:marBottom w:val="0"/>
                      <w:divBdr>
                        <w:top w:val="none" w:sz="0" w:space="0" w:color="auto"/>
                        <w:left w:val="none" w:sz="0" w:space="0" w:color="auto"/>
                        <w:bottom w:val="none" w:sz="0" w:space="0" w:color="auto"/>
                        <w:right w:val="none" w:sz="0" w:space="0" w:color="auto"/>
                      </w:divBdr>
                      <w:divsChild>
                        <w:div w:id="1916747208">
                          <w:marLeft w:val="0"/>
                          <w:marRight w:val="0"/>
                          <w:marTop w:val="0"/>
                          <w:marBottom w:val="0"/>
                          <w:divBdr>
                            <w:top w:val="none" w:sz="0" w:space="0" w:color="auto"/>
                            <w:left w:val="none" w:sz="0" w:space="0" w:color="auto"/>
                            <w:bottom w:val="none" w:sz="0" w:space="0" w:color="auto"/>
                            <w:right w:val="none" w:sz="0" w:space="0" w:color="auto"/>
                          </w:divBdr>
                          <w:divsChild>
                            <w:div w:id="808518132">
                              <w:marLeft w:val="0"/>
                              <w:marRight w:val="0"/>
                              <w:marTop w:val="0"/>
                              <w:marBottom w:val="0"/>
                              <w:divBdr>
                                <w:top w:val="none" w:sz="0" w:space="0" w:color="auto"/>
                                <w:left w:val="none" w:sz="0" w:space="0" w:color="auto"/>
                                <w:bottom w:val="none" w:sz="0" w:space="0" w:color="auto"/>
                                <w:right w:val="none" w:sz="0" w:space="0" w:color="auto"/>
                              </w:divBdr>
                              <w:divsChild>
                                <w:div w:id="1145121079">
                                  <w:marLeft w:val="0"/>
                                  <w:marRight w:val="0"/>
                                  <w:marTop w:val="0"/>
                                  <w:marBottom w:val="0"/>
                                  <w:divBdr>
                                    <w:top w:val="none" w:sz="0" w:space="0" w:color="auto"/>
                                    <w:left w:val="none" w:sz="0" w:space="0" w:color="auto"/>
                                    <w:bottom w:val="none" w:sz="0" w:space="0" w:color="auto"/>
                                    <w:right w:val="none" w:sz="0" w:space="0" w:color="auto"/>
                                  </w:divBdr>
                                  <w:divsChild>
                                    <w:div w:id="1760171758">
                                      <w:marLeft w:val="0"/>
                                      <w:marRight w:val="0"/>
                                      <w:marTop w:val="0"/>
                                      <w:marBottom w:val="0"/>
                                      <w:divBdr>
                                        <w:top w:val="none" w:sz="0" w:space="0" w:color="auto"/>
                                        <w:left w:val="none" w:sz="0" w:space="0" w:color="auto"/>
                                        <w:bottom w:val="none" w:sz="0" w:space="0" w:color="auto"/>
                                        <w:right w:val="none" w:sz="0" w:space="0" w:color="auto"/>
                                      </w:divBdr>
                                      <w:divsChild>
                                        <w:div w:id="981933257">
                                          <w:marLeft w:val="0"/>
                                          <w:marRight w:val="0"/>
                                          <w:marTop w:val="0"/>
                                          <w:marBottom w:val="330"/>
                                          <w:divBdr>
                                            <w:top w:val="none" w:sz="0" w:space="0" w:color="auto"/>
                                            <w:left w:val="none" w:sz="0" w:space="0" w:color="auto"/>
                                            <w:bottom w:val="none" w:sz="0" w:space="0" w:color="auto"/>
                                            <w:right w:val="none" w:sz="0" w:space="0" w:color="auto"/>
                                          </w:divBdr>
                                          <w:divsChild>
                                            <w:div w:id="1649895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chart" Target="charts/chart6.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3.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772714383470526E-2"/>
          <c:y val="0.13275569732426548"/>
          <c:w val="0.87545206113941643"/>
          <c:h val="0.68262154730661839"/>
        </c:manualLayout>
      </c:layout>
      <c:lineChart>
        <c:grouping val="standard"/>
        <c:varyColors val="0"/>
        <c:ser>
          <c:idx val="0"/>
          <c:order val="0"/>
          <c:tx>
            <c:strRef>
              <c:f>Sheet1!$A$2</c:f>
              <c:strCache>
                <c:ptCount val="1"/>
                <c:pt idx="0">
                  <c:v> Full Employment</c:v>
                </c:pt>
              </c:strCache>
            </c:strRef>
          </c:tx>
          <c:spPr>
            <a:ln w="1269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3.7191984629517706E-2"/>
                  <c:y val="-5.902886588952153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81F-4561-980B-F5F78E692DFF}"/>
                </c:ext>
              </c:extLst>
            </c:dLbl>
            <c:dLbl>
              <c:idx val="1"/>
              <c:layout>
                <c:manualLayout>
                  <c:x val="-6.555630393809575E-2"/>
                  <c:y val="-4.32147830544430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81F-4561-980B-F5F78E692DFF}"/>
                </c:ext>
              </c:extLst>
            </c:dLbl>
            <c:dLbl>
              <c:idx val="2"/>
              <c:layout>
                <c:manualLayout>
                  <c:x val="-4.2440384451252783E-2"/>
                  <c:y val="-4.26407442995626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81F-4561-980B-F5F78E692DFF}"/>
                </c:ext>
              </c:extLst>
            </c:dLbl>
            <c:dLbl>
              <c:idx val="3"/>
              <c:layout>
                <c:manualLayout>
                  <c:x val="-3.2368173258003806E-2"/>
                  <c:y val="-5.26094130805503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81F-4561-980B-F5F78E692DFF}"/>
                </c:ext>
              </c:extLst>
            </c:dLbl>
            <c:dLbl>
              <c:idx val="4"/>
              <c:layout>
                <c:manualLayout>
                  <c:x val="-3.5493827492259683E-2"/>
                  <c:y val="-3.16281656701580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81F-4561-980B-F5F78E692DFF}"/>
                </c:ext>
              </c:extLst>
            </c:dLbl>
            <c:spPr>
              <a:noFill/>
              <a:ln>
                <a:noFill/>
              </a:ln>
              <a:effectLst/>
            </c:spPr>
            <c:txPr>
              <a:bodyPr/>
              <a:lstStyle/>
              <a:p>
                <a:pPr>
                  <a:defRPr sz="8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Sheet1!$B$2:$F$2</c:f>
              <c:numCache>
                <c:formatCode>General</c:formatCode>
                <c:ptCount val="5"/>
                <c:pt idx="0" formatCode="0.0">
                  <c:v>56.5</c:v>
                </c:pt>
                <c:pt idx="1">
                  <c:v>66.099999999999994</c:v>
                </c:pt>
                <c:pt idx="2">
                  <c:v>83.6</c:v>
                </c:pt>
                <c:pt idx="3">
                  <c:v>87.9</c:v>
                </c:pt>
                <c:pt idx="4">
                  <c:v>91.7</c:v>
                </c:pt>
              </c:numCache>
            </c:numRef>
          </c:val>
          <c:smooth val="1"/>
          <c:extLst>
            <c:ext xmlns:c16="http://schemas.microsoft.com/office/drawing/2014/chart" uri="{C3380CC4-5D6E-409C-BE32-E72D297353CC}">
              <c16:uniqueId val="{00000005-281F-4561-980B-F5F78E692DFF}"/>
            </c:ext>
          </c:extLst>
        </c:ser>
        <c:ser>
          <c:idx val="1"/>
          <c:order val="1"/>
          <c:tx>
            <c:strRef>
              <c:f>Sheet1!$A$3</c:f>
              <c:strCache>
                <c:ptCount val="1"/>
                <c:pt idx="0">
                  <c:v> Time Related Underemployment</c:v>
                </c:pt>
              </c:strCache>
            </c:strRef>
          </c:tx>
          <c:spPr>
            <a:ln w="12691">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8788912338845452E-2"/>
                  <c:y val="-5.84548271346424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81F-4561-980B-F5F78E692DFF}"/>
                </c:ext>
              </c:extLst>
            </c:dLbl>
            <c:dLbl>
              <c:idx val="1"/>
              <c:layout>
                <c:manualLayout>
                  <c:x val="-3.4037097176768588E-2"/>
                  <c:y val="-4.67640277348303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81F-4561-980B-F5F78E692DFF}"/>
                </c:ext>
              </c:extLst>
            </c:dLbl>
            <c:dLbl>
              <c:idx val="2"/>
              <c:layout>
                <c:manualLayout>
                  <c:x val="-3.4037097176768588E-2"/>
                  <c:y val="-2.92274135673212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81F-4561-980B-F5F78E692DFF}"/>
                </c:ext>
              </c:extLst>
            </c:dLbl>
            <c:dLbl>
              <c:idx val="3"/>
              <c:layout>
                <c:manualLayout>
                  <c:x val="-3.8860903968235716E-2"/>
                  <c:y val="-3.507281326722731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81F-4561-980B-F5F78E692DFF}"/>
                </c:ext>
              </c:extLst>
            </c:dLbl>
            <c:dLbl>
              <c:idx val="4"/>
              <c:layout>
                <c:manualLayout>
                  <c:x val="-3.2763748053590412E-2"/>
                  <c:y val="-3.16281656701580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81F-4561-980B-F5F78E692DFF}"/>
                </c:ext>
              </c:extLst>
            </c:dLbl>
            <c:spPr>
              <a:noFill/>
              <a:ln>
                <a:noFill/>
              </a:ln>
              <a:effectLst/>
            </c:spPr>
            <c:txPr>
              <a:bodyPr/>
              <a:lstStyle/>
              <a:p>
                <a:pPr>
                  <a:defRPr sz="8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Sheet1!$B$3:$F$3</c:f>
              <c:numCache>
                <c:formatCode>General</c:formatCode>
                <c:ptCount val="5"/>
                <c:pt idx="0">
                  <c:v>1.4</c:v>
                </c:pt>
                <c:pt idx="1">
                  <c:v>1.5</c:v>
                </c:pt>
                <c:pt idx="2">
                  <c:v>0.9</c:v>
                </c:pt>
                <c:pt idx="3">
                  <c:v>0.9</c:v>
                </c:pt>
                <c:pt idx="4">
                  <c:v>0.4</c:v>
                </c:pt>
              </c:numCache>
            </c:numRef>
          </c:val>
          <c:smooth val="1"/>
          <c:extLst>
            <c:ext xmlns:c16="http://schemas.microsoft.com/office/drawing/2014/chart" uri="{C3380CC4-5D6E-409C-BE32-E72D297353CC}">
              <c16:uniqueId val="{0000000B-281F-4561-980B-F5F78E692DFF}"/>
            </c:ext>
          </c:extLst>
        </c:ser>
        <c:ser>
          <c:idx val="2"/>
          <c:order val="2"/>
          <c:tx>
            <c:strRef>
              <c:f>Sheet1!$A$4</c:f>
              <c:strCache>
                <c:ptCount val="1"/>
                <c:pt idx="0">
                  <c:v>    Revised Unemployment Rate</c:v>
                </c:pt>
              </c:strCache>
            </c:strRef>
          </c:tx>
          <c:spPr>
            <a:ln w="12691">
              <a:solidFill>
                <a:srgbClr val="003366"/>
              </a:solidFill>
              <a:prstDash val="solid"/>
            </a:ln>
          </c:spPr>
          <c:marker>
            <c:symbol val="square"/>
            <c:size val="4"/>
            <c:spPr>
              <a:solidFill>
                <a:srgbClr val="FFFF00"/>
              </a:solidFill>
              <a:ln>
                <a:solidFill>
                  <a:srgbClr val="0000FF"/>
                </a:solidFill>
                <a:prstDash val="solid"/>
              </a:ln>
            </c:spPr>
          </c:marker>
          <c:dLbls>
            <c:dLbl>
              <c:idx val="0"/>
              <c:layout>
                <c:manualLayout>
                  <c:x val="-3.2763533069777612E-2"/>
                  <c:y val="5.27136094502644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281F-4561-980B-F5F78E692DFF}"/>
                </c:ext>
              </c:extLst>
            </c:dLbl>
            <c:dLbl>
              <c:idx val="1"/>
              <c:layout>
                <c:manualLayout>
                  <c:x val="-1.3651472112407506E-2"/>
                  <c:y val="-4.74422485052371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281F-4561-980B-F5F78E692DFF}"/>
                </c:ext>
              </c:extLst>
            </c:dLbl>
            <c:dLbl>
              <c:idx val="2"/>
              <c:layout>
                <c:manualLayout>
                  <c:x val="-3.1094613731059435E-2"/>
                  <c:y val="-4.67640277348304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281F-4561-980B-F5F78E692DFF}"/>
                </c:ext>
              </c:extLst>
            </c:dLbl>
            <c:dLbl>
              <c:idx val="3"/>
              <c:layout>
                <c:manualLayout>
                  <c:x val="-3.4037097176768588E-2"/>
                  <c:y val="-5.260942743473665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281F-4561-980B-F5F78E692DFF}"/>
                </c:ext>
              </c:extLst>
            </c:dLbl>
            <c:dLbl>
              <c:idx val="4"/>
              <c:layout>
                <c:manualLayout>
                  <c:x val="-2.457264980233325E-2"/>
                  <c:y val="-5.27136094502644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281F-4561-980B-F5F78E692DFF}"/>
                </c:ext>
              </c:extLst>
            </c:dLbl>
            <c:spPr>
              <a:noFill/>
              <a:ln>
                <a:noFill/>
              </a:ln>
              <a:effectLst/>
            </c:spPr>
            <c:txPr>
              <a:bodyPr/>
              <a:lstStyle/>
              <a:p>
                <a:pPr>
                  <a:defRPr sz="8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Sheet1!$B$4:$F$4</c:f>
              <c:numCache>
                <c:formatCode>0.0</c:formatCode>
                <c:ptCount val="5"/>
                <c:pt idx="0" formatCode="General">
                  <c:v>42.1</c:v>
                </c:pt>
                <c:pt idx="1">
                  <c:v>32.4</c:v>
                </c:pt>
                <c:pt idx="2" formatCode="General">
                  <c:v>15.5</c:v>
                </c:pt>
                <c:pt idx="3" formatCode="General">
                  <c:v>11.2</c:v>
                </c:pt>
                <c:pt idx="4" formatCode="General">
                  <c:v>7.9</c:v>
                </c:pt>
              </c:numCache>
            </c:numRef>
          </c:val>
          <c:smooth val="1"/>
          <c:extLst>
            <c:ext xmlns:c16="http://schemas.microsoft.com/office/drawing/2014/chart" uri="{C3380CC4-5D6E-409C-BE32-E72D297353CC}">
              <c16:uniqueId val="{00000011-281F-4561-980B-F5F78E692DFF}"/>
            </c:ext>
          </c:extLst>
        </c:ser>
        <c:dLbls>
          <c:showLegendKey val="0"/>
          <c:showVal val="1"/>
          <c:showCatName val="0"/>
          <c:showSerName val="0"/>
          <c:showPercent val="0"/>
          <c:showBubbleSize val="0"/>
        </c:dLbls>
        <c:marker val="1"/>
        <c:smooth val="0"/>
        <c:axId val="149026688"/>
        <c:axId val="149061632"/>
      </c:lineChart>
      <c:catAx>
        <c:axId val="149026688"/>
        <c:scaling>
          <c:orientation val="minMax"/>
        </c:scaling>
        <c:delete val="0"/>
        <c:axPos val="b"/>
        <c:title>
          <c:tx>
            <c:rich>
              <a:bodyPr/>
              <a:lstStyle/>
              <a:p>
                <a:pPr>
                  <a:defRPr sz="800" b="1" i="0" u="none" strike="noStrike" baseline="0">
                    <a:solidFill>
                      <a:srgbClr val="000000"/>
                    </a:solidFill>
                    <a:latin typeface="Arial"/>
                    <a:ea typeface="Arial"/>
                    <a:cs typeface="Arial"/>
                  </a:defRPr>
                </a:pPr>
                <a:r>
                  <a:rPr lang="en-US" sz="800"/>
                  <a:t>Age Groups</a:t>
                </a:r>
              </a:p>
            </c:rich>
          </c:tx>
          <c:layout>
            <c:manualLayout>
              <c:xMode val="edge"/>
              <c:yMode val="edge"/>
              <c:x val="0.39056530801298422"/>
              <c:y val="0.91230158730158761"/>
            </c:manualLayout>
          </c:layout>
          <c:overlay val="0"/>
          <c:spPr>
            <a:noFill/>
            <a:ln w="25382">
              <a:noFill/>
            </a:ln>
          </c:spPr>
        </c:title>
        <c:numFmt formatCode="General" sourceLinked="1"/>
        <c:majorTickMark val="out"/>
        <c:minorTickMark val="none"/>
        <c:tickLblPos val="nextTo"/>
        <c:spPr>
          <a:ln w="3173">
            <a:solidFill>
              <a:srgbClr val="000000"/>
            </a:solidFill>
            <a:prstDash val="solid"/>
          </a:ln>
        </c:spPr>
        <c:txPr>
          <a:bodyPr rot="0" vert="horz"/>
          <a:lstStyle/>
          <a:p>
            <a:pPr rtl="1">
              <a:defRPr sz="700" b="0" i="0" u="none" strike="noStrike" baseline="0">
                <a:solidFill>
                  <a:srgbClr val="000000"/>
                </a:solidFill>
                <a:latin typeface="Arial"/>
                <a:ea typeface="Arial"/>
                <a:cs typeface="Arial"/>
              </a:defRPr>
            </a:pPr>
            <a:endParaRPr lang="ar-SA"/>
          </a:p>
        </c:txPr>
        <c:crossAx val="149061632"/>
        <c:crosses val="autoZero"/>
        <c:auto val="1"/>
        <c:lblAlgn val="ctr"/>
        <c:lblOffset val="100"/>
        <c:tickLblSkip val="1"/>
        <c:tickMarkSkip val="1"/>
        <c:noMultiLvlLbl val="0"/>
      </c:catAx>
      <c:valAx>
        <c:axId val="149061632"/>
        <c:scaling>
          <c:orientation val="minMax"/>
          <c:max val="100"/>
          <c:min val="0"/>
        </c:scaling>
        <c:delete val="0"/>
        <c:axPos val="l"/>
        <c:title>
          <c:tx>
            <c:rich>
              <a:bodyPr/>
              <a:lstStyle/>
              <a:p>
                <a:pPr>
                  <a:defRPr sz="800" b="1" i="0" u="none" strike="noStrike" baseline="0">
                    <a:solidFill>
                      <a:srgbClr val="000000"/>
                    </a:solidFill>
                    <a:latin typeface="Arial"/>
                    <a:ea typeface="Arial"/>
                    <a:cs typeface="Arial"/>
                  </a:defRPr>
                </a:pPr>
                <a:r>
                  <a:rPr lang="en-US" sz="800"/>
                  <a:t>Percent</a:t>
                </a:r>
              </a:p>
            </c:rich>
          </c:tx>
          <c:layout>
            <c:manualLayout>
              <c:xMode val="edge"/>
              <c:yMode val="edge"/>
              <c:x val="3.1842219404778888E-3"/>
              <c:y val="0.327626845989755"/>
            </c:manualLayout>
          </c:layout>
          <c:overlay val="0"/>
          <c:spPr>
            <a:noFill/>
            <a:ln w="25382">
              <a:noFill/>
            </a:ln>
          </c:spPr>
        </c:title>
        <c:numFmt formatCode="0" sourceLinked="0"/>
        <c:majorTickMark val="out"/>
        <c:minorTickMark val="none"/>
        <c:tickLblPos val="nextTo"/>
        <c:spPr>
          <a:ln w="3173">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149026688"/>
        <c:crosses val="autoZero"/>
        <c:crossBetween val="between"/>
        <c:majorUnit val="20"/>
        <c:minorUnit val="2"/>
      </c:valAx>
      <c:spPr>
        <a:noFill/>
        <a:ln w="25382">
          <a:noFill/>
        </a:ln>
      </c:spPr>
    </c:plotArea>
    <c:legend>
      <c:legendPos val="t"/>
      <c:layout>
        <c:manualLayout>
          <c:xMode val="edge"/>
          <c:yMode val="edge"/>
          <c:x val="2.5974025974026652E-2"/>
          <c:y val="1.1194029850746271E-2"/>
          <c:w val="0.93822514847760075"/>
          <c:h val="0.14462801738918307"/>
        </c:manualLayout>
      </c:layout>
      <c:overlay val="0"/>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legend>
    <c:plotVisOnly val="1"/>
    <c:dispBlanksAs val="gap"/>
    <c:showDLblsOverMax val="0"/>
  </c:char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06093687441623E-2"/>
          <c:y val="8.5962855100077618E-2"/>
          <c:w val="0.86597230901692757"/>
          <c:h val="0.64008826222305981"/>
        </c:manualLayout>
      </c:layout>
      <c:lineChart>
        <c:grouping val="stacked"/>
        <c:varyColors val="0"/>
        <c:ser>
          <c:idx val="0"/>
          <c:order val="0"/>
          <c:tx>
            <c:strRef>
              <c:f>ورقة1!$A$2</c:f>
              <c:strCache>
                <c:ptCount val="1"/>
                <c:pt idx="0">
                  <c:v>فئة 1</c:v>
                </c:pt>
              </c:strCache>
            </c:strRef>
          </c:tx>
          <c:marker>
            <c:symbol val="circle"/>
            <c:size val="6"/>
          </c:marker>
          <c:dLbls>
            <c:dLbl>
              <c:idx val="2"/>
              <c:layout>
                <c:manualLayout>
                  <c:x val="-1.6271186440677984E-2"/>
                  <c:y val="-5.348259172053927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241-4CB1-95DF-968BAA4C9161}"/>
                </c:ext>
              </c:extLst>
            </c:dLbl>
            <c:dLbl>
              <c:idx val="3"/>
              <c:layout>
                <c:manualLayout>
                  <c:x val="-2.9830508474576325E-2"/>
                  <c:y val="-4.75400815293681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241-4CB1-95DF-968BAA4C9161}"/>
                </c:ext>
              </c:extLst>
            </c:dLbl>
            <c:dLbl>
              <c:idx val="4"/>
              <c:layout>
                <c:manualLayout>
                  <c:x val="-2.9830508474576325E-2"/>
                  <c:y val="-5.348259172053927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241-4CB1-95DF-968BAA4C9161}"/>
                </c:ext>
              </c:extLst>
            </c:dLbl>
            <c:dLbl>
              <c:idx val="5"/>
              <c:layout>
                <c:manualLayout>
                  <c:x val="-2.9830508474576325E-2"/>
                  <c:y val="-5.348259172053927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241-4CB1-95DF-968BAA4C9161}"/>
                </c:ext>
              </c:extLst>
            </c:dLbl>
            <c:dLbl>
              <c:idx val="6"/>
              <c:layout>
                <c:manualLayout>
                  <c:x val="-3.2542372881356002E-2"/>
                  <c:y val="-6.536761210288133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241-4CB1-95DF-968BAA4C9161}"/>
                </c:ext>
              </c:extLst>
            </c:dLbl>
            <c:dLbl>
              <c:idx val="7"/>
              <c:layout>
                <c:manualLayout>
                  <c:x val="-4.8813559322033927E-2"/>
                  <c:y val="-4.75400815293682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241-4CB1-95DF-968BAA4C9161}"/>
                </c:ext>
              </c:extLst>
            </c:dLbl>
            <c:dLbl>
              <c:idx val="8"/>
              <c:layout>
                <c:manualLayout>
                  <c:x val="-1.3559322033898299E-2"/>
                  <c:y val="-2.37700407646840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241-4CB1-95DF-968BAA4C9161}"/>
                </c:ext>
              </c:extLst>
            </c:dLbl>
            <c:dLbl>
              <c:idx val="9"/>
              <c:layout>
                <c:manualLayout>
                  <c:x val="-2.1694915254237297E-2"/>
                  <c:y val="-4.15975713381971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241-4CB1-95DF-968BAA4C9161}"/>
                </c:ext>
              </c:extLst>
            </c:dLbl>
            <c:dLbl>
              <c:idx val="10"/>
              <c:layout>
                <c:manualLayout>
                  <c:x val="-2.9830508474576418E-2"/>
                  <c:y val="-4.15975713381971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241-4CB1-95DF-968BAA4C9161}"/>
                </c:ext>
              </c:extLst>
            </c:dLbl>
            <c:dLbl>
              <c:idx val="11"/>
              <c:layout>
                <c:manualLayout>
                  <c:x val="-4.0677966101694885E-2"/>
                  <c:y val="-6.536761210288133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241-4CB1-95DF-968BAA4C916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ورقة1!$B$1:$M$1</c:f>
              <c:strCache>
                <c:ptCount val="12"/>
                <c:pt idx="0">
                  <c:v> January</c:v>
                </c:pt>
                <c:pt idx="1">
                  <c:v>  February</c:v>
                </c:pt>
                <c:pt idx="2">
                  <c:v>March</c:v>
                </c:pt>
                <c:pt idx="3">
                  <c:v> April</c:v>
                </c:pt>
                <c:pt idx="4">
                  <c:v> May</c:v>
                </c:pt>
                <c:pt idx="5">
                  <c:v>June</c:v>
                </c:pt>
                <c:pt idx="6">
                  <c:v> July</c:v>
                </c:pt>
                <c:pt idx="7">
                  <c:v> August</c:v>
                </c:pt>
                <c:pt idx="8">
                  <c:v>September</c:v>
                </c:pt>
                <c:pt idx="9">
                  <c:v> October</c:v>
                </c:pt>
                <c:pt idx="10">
                  <c:v> November</c:v>
                </c:pt>
                <c:pt idx="11">
                  <c:v>December</c:v>
                </c:pt>
              </c:strCache>
            </c:strRef>
          </c:cat>
          <c:val>
            <c:numRef>
              <c:f>ورقة1!$B$2:$M$2</c:f>
              <c:numCache>
                <c:formatCode>#,##0</c:formatCode>
                <c:ptCount val="12"/>
                <c:pt idx="0">
                  <c:v>8267</c:v>
                </c:pt>
                <c:pt idx="1">
                  <c:v>4590</c:v>
                </c:pt>
                <c:pt idx="2" formatCode="General">
                  <c:v>0</c:v>
                </c:pt>
                <c:pt idx="3" formatCode="General">
                  <c:v>0</c:v>
                </c:pt>
                <c:pt idx="4" formatCode="General">
                  <c:v>0</c:v>
                </c:pt>
                <c:pt idx="5" formatCode="General">
                  <c:v>130</c:v>
                </c:pt>
                <c:pt idx="6" formatCode="General">
                  <c:v>0</c:v>
                </c:pt>
                <c:pt idx="7">
                  <c:v>3561</c:v>
                </c:pt>
                <c:pt idx="8">
                  <c:v>2548</c:v>
                </c:pt>
                <c:pt idx="9" formatCode="General">
                  <c:v>685</c:v>
                </c:pt>
                <c:pt idx="10" formatCode="General">
                  <c:v>729</c:v>
                </c:pt>
                <c:pt idx="11">
                  <c:v>1214</c:v>
                </c:pt>
              </c:numCache>
            </c:numRef>
          </c:val>
          <c:smooth val="1"/>
          <c:extLst>
            <c:ext xmlns:c16="http://schemas.microsoft.com/office/drawing/2014/chart" uri="{C3380CC4-5D6E-409C-BE32-E72D297353CC}">
              <c16:uniqueId val="{0000000A-A241-4CB1-95DF-968BAA4C9161}"/>
            </c:ext>
          </c:extLst>
        </c:ser>
        <c:dLbls>
          <c:showLegendKey val="0"/>
          <c:showVal val="1"/>
          <c:showCatName val="0"/>
          <c:showSerName val="0"/>
          <c:showPercent val="0"/>
          <c:showBubbleSize val="0"/>
        </c:dLbls>
        <c:marker val="1"/>
        <c:smooth val="0"/>
        <c:axId val="40609280"/>
        <c:axId val="40610816"/>
      </c:lineChart>
      <c:catAx>
        <c:axId val="40609280"/>
        <c:scaling>
          <c:orientation val="minMax"/>
        </c:scaling>
        <c:delete val="0"/>
        <c:axPos val="b"/>
        <c:numFmt formatCode="General" sourceLinked="0"/>
        <c:majorTickMark val="out"/>
        <c:minorTickMark val="none"/>
        <c:tickLblPos val="nextTo"/>
        <c:txPr>
          <a:bodyPr/>
          <a:lstStyle/>
          <a:p>
            <a:pPr>
              <a:defRPr>
                <a:latin typeface="Arial" pitchFamily="34" charset="0"/>
                <a:cs typeface="Arial" pitchFamily="34" charset="0"/>
              </a:defRPr>
            </a:pPr>
            <a:endParaRPr lang="ar-SA"/>
          </a:p>
        </c:txPr>
        <c:crossAx val="40610816"/>
        <c:crosses val="autoZero"/>
        <c:auto val="1"/>
        <c:lblAlgn val="ctr"/>
        <c:lblOffset val="100"/>
        <c:noMultiLvlLbl val="0"/>
      </c:catAx>
      <c:valAx>
        <c:axId val="40610816"/>
        <c:scaling>
          <c:orientation val="minMax"/>
          <c:max val="9000"/>
          <c:min val="0"/>
        </c:scaling>
        <c:delete val="0"/>
        <c:axPos val="l"/>
        <c:numFmt formatCode="#,##0" sourceLinked="1"/>
        <c:majorTickMark val="out"/>
        <c:minorTickMark val="none"/>
        <c:tickLblPos val="nextTo"/>
        <c:txPr>
          <a:bodyPr/>
          <a:lstStyle/>
          <a:p>
            <a:pPr>
              <a:defRPr>
                <a:latin typeface="Arial" pitchFamily="34" charset="0"/>
                <a:cs typeface="Arial" pitchFamily="34" charset="0"/>
              </a:defRPr>
            </a:pPr>
            <a:endParaRPr lang="ar-SA"/>
          </a:p>
        </c:txPr>
        <c:crossAx val="40609280"/>
        <c:crosses val="autoZero"/>
        <c:crossBetween val="between"/>
        <c:majorUnit val="1000"/>
        <c:minorUnit val="500"/>
      </c:valAx>
      <c:spPr>
        <a:ln>
          <a:solidFill>
            <a:schemeClr val="accent1"/>
          </a:solidFill>
        </a:ln>
      </c:spPr>
    </c:plotArea>
    <c:plotVisOnly val="1"/>
    <c:dispBlanksAs val="zero"/>
    <c:showDLblsOverMax val="0"/>
  </c:chart>
  <c:spPr>
    <a:noFill/>
    <a:ln>
      <a:noFill/>
    </a:ln>
  </c:spPr>
  <c:txPr>
    <a:bodyPr/>
    <a:lstStyle/>
    <a:p>
      <a:pPr>
        <a:defRPr sz="800">
          <a:cs typeface="+mn-cs"/>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17171326943529"/>
          <c:y val="3.4042359288422412E-2"/>
          <c:w val="0.63577032037661962"/>
          <c:h val="0.6270234040814191"/>
        </c:manualLayout>
      </c:layout>
      <c:barChart>
        <c:barDir val="col"/>
        <c:grouping val="clustered"/>
        <c:varyColors val="0"/>
        <c:ser>
          <c:idx val="0"/>
          <c:order val="0"/>
          <c:tx>
            <c:strRef>
              <c:f>Sheet1!$B$1</c:f>
              <c:strCache>
                <c:ptCount val="1"/>
                <c:pt idx="0">
                  <c:v>عدد الافعال الاجرامية المبلغ عنها</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Sheet1!$A$2:$A$12</c:f>
              <c:strCache>
                <c:ptCount val="11"/>
                <c:pt idx="0">
                  <c:v>  Hebron</c:v>
                </c:pt>
                <c:pt idx="1">
                  <c:v>  Jenin</c:v>
                </c:pt>
                <c:pt idx="2">
                  <c:v>  Ramallah &amp; Al Bireh</c:v>
                </c:pt>
                <c:pt idx="3">
                  <c:v>  Nablus</c:v>
                </c:pt>
                <c:pt idx="4">
                  <c:v>  Bethlehem</c:v>
                </c:pt>
                <c:pt idx="5">
                  <c:v>  Salfit</c:v>
                </c:pt>
                <c:pt idx="6">
                  <c:v>  Tulkarm</c:v>
                </c:pt>
                <c:pt idx="7">
                  <c:v>  Qalqiliya</c:v>
                </c:pt>
                <c:pt idx="8">
                  <c:v>  Jericho &amp; Al Aghwar</c:v>
                </c:pt>
                <c:pt idx="9">
                  <c:v>  Jerusalem*</c:v>
                </c:pt>
                <c:pt idx="10">
                  <c:v>  Tubas &amp; Northern Valleys</c:v>
                </c:pt>
              </c:strCache>
            </c:strRef>
          </c:cat>
          <c:val>
            <c:numRef>
              <c:f>Sheet1!$B$2:$B$12</c:f>
              <c:numCache>
                <c:formatCode>#,##0</c:formatCode>
                <c:ptCount val="11"/>
                <c:pt idx="0">
                  <c:v>4478</c:v>
                </c:pt>
                <c:pt idx="1">
                  <c:v>4198</c:v>
                </c:pt>
                <c:pt idx="2">
                  <c:v>3185</c:v>
                </c:pt>
                <c:pt idx="3">
                  <c:v>2822</c:v>
                </c:pt>
                <c:pt idx="4">
                  <c:v>2574</c:v>
                </c:pt>
                <c:pt idx="5">
                  <c:v>2354</c:v>
                </c:pt>
                <c:pt idx="6">
                  <c:v>1785</c:v>
                </c:pt>
                <c:pt idx="7">
                  <c:v>1564</c:v>
                </c:pt>
                <c:pt idx="8">
                  <c:v>1468</c:v>
                </c:pt>
                <c:pt idx="9" formatCode="General">
                  <c:v>942</c:v>
                </c:pt>
                <c:pt idx="10" formatCode="General">
                  <c:v>871</c:v>
                </c:pt>
              </c:numCache>
            </c:numRef>
          </c:val>
          <c:extLst>
            <c:ext xmlns:c16="http://schemas.microsoft.com/office/drawing/2014/chart" uri="{C3380CC4-5D6E-409C-BE32-E72D297353CC}">
              <c16:uniqueId val="{00000000-A9FD-4DD1-BA53-A65BC78D1207}"/>
            </c:ext>
          </c:extLst>
        </c:ser>
        <c:dLbls>
          <c:showLegendKey val="0"/>
          <c:showVal val="1"/>
          <c:showCatName val="0"/>
          <c:showSerName val="0"/>
          <c:showPercent val="0"/>
          <c:showBubbleSize val="0"/>
        </c:dLbls>
        <c:gapWidth val="150"/>
        <c:axId val="91354624"/>
        <c:axId val="91356160"/>
      </c:barChart>
      <c:catAx>
        <c:axId val="91354624"/>
        <c:scaling>
          <c:orientation val="minMax"/>
        </c:scaling>
        <c:delete val="0"/>
        <c:axPos val="b"/>
        <c:numFmt formatCode="General" sourceLinked="0"/>
        <c:majorTickMark val="out"/>
        <c:minorTickMark val="none"/>
        <c:tickLblPos val="low"/>
        <c:txPr>
          <a:bodyPr rot="1200000" vert="horz"/>
          <a:lstStyle/>
          <a:p>
            <a:pPr>
              <a:defRPr sz="690" baseline="0">
                <a:latin typeface="Arial" pitchFamily="34" charset="0"/>
                <a:cs typeface="Arial" pitchFamily="34" charset="0"/>
              </a:defRPr>
            </a:pPr>
            <a:endParaRPr lang="ar-SA"/>
          </a:p>
        </c:txPr>
        <c:crossAx val="91356160"/>
        <c:crosses val="autoZero"/>
        <c:auto val="1"/>
        <c:lblAlgn val="ctr"/>
        <c:lblOffset val="100"/>
        <c:tickLblSkip val="1"/>
        <c:noMultiLvlLbl val="0"/>
      </c:catAx>
      <c:valAx>
        <c:axId val="91356160"/>
        <c:scaling>
          <c:orientation val="minMax"/>
        </c:scaling>
        <c:delete val="0"/>
        <c:axPos val="l"/>
        <c:numFmt formatCode="#,##0" sourceLinked="0"/>
        <c:majorTickMark val="out"/>
        <c:minorTickMark val="none"/>
        <c:tickLblPos val="nextTo"/>
        <c:txPr>
          <a:bodyPr/>
          <a:lstStyle/>
          <a:p>
            <a:pPr>
              <a:defRPr>
                <a:latin typeface="Arial" pitchFamily="34" charset="0"/>
                <a:cs typeface="Arial" pitchFamily="34" charset="0"/>
              </a:defRPr>
            </a:pPr>
            <a:endParaRPr lang="ar-SA"/>
          </a:p>
        </c:txPr>
        <c:crossAx val="91354624"/>
        <c:crosses val="autoZero"/>
        <c:crossBetween val="between"/>
      </c:valAx>
    </c:plotArea>
    <c:plotVisOnly val="1"/>
    <c:dispBlanksAs val="gap"/>
    <c:showDLblsOverMax val="0"/>
  </c:chart>
  <c:spPr>
    <a:noFill/>
    <a:ln>
      <a:noFill/>
    </a:ln>
  </c:spPr>
  <c:txPr>
    <a:bodyPr/>
    <a:lstStyle/>
    <a:p>
      <a:pPr>
        <a:defRPr sz="800"/>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23662951222062"/>
          <c:y val="6.267806267806264E-2"/>
          <c:w val="0.83022213132449363"/>
          <c:h val="0.67147231596050494"/>
        </c:manualLayout>
      </c:layout>
      <c:barChart>
        <c:barDir val="col"/>
        <c:grouping val="clustered"/>
        <c:varyColors val="0"/>
        <c:ser>
          <c:idx val="0"/>
          <c:order val="0"/>
          <c:tx>
            <c:strRef>
              <c:f>Sheet1!$B$1</c:f>
              <c:strCache>
                <c:ptCount val="1"/>
                <c:pt idx="0">
                  <c:v>2019</c:v>
                </c:pt>
              </c:strCache>
            </c:strRef>
          </c:tx>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Sheet1!$A$2:$A$8</c:f>
              <c:strCache>
                <c:ptCount val="7"/>
                <c:pt idx="0">
                  <c:v>  Nablus</c:v>
                </c:pt>
                <c:pt idx="1">
                  <c:v>  Ramallah</c:v>
                </c:pt>
                <c:pt idx="2">
                  <c:v>  Hebron</c:v>
                </c:pt>
                <c:pt idx="3">
                  <c:v>Bethlehem</c:v>
                </c:pt>
                <c:pt idx="4">
                  <c:v>Tulkarm</c:v>
                </c:pt>
                <c:pt idx="5">
                  <c:v>  Jenin</c:v>
                </c:pt>
                <c:pt idx="6">
                  <c:v> Jericho</c:v>
                </c:pt>
              </c:strCache>
            </c:strRef>
          </c:cat>
          <c:val>
            <c:numRef>
              <c:f>Sheet1!$B$2:$B$8</c:f>
              <c:numCache>
                <c:formatCode>General</c:formatCode>
                <c:ptCount val="7"/>
                <c:pt idx="0">
                  <c:v>849</c:v>
                </c:pt>
                <c:pt idx="1">
                  <c:v>846</c:v>
                </c:pt>
                <c:pt idx="2">
                  <c:v>696</c:v>
                </c:pt>
                <c:pt idx="3" formatCode="0">
                  <c:v>677</c:v>
                </c:pt>
                <c:pt idx="4" formatCode="0">
                  <c:v>670</c:v>
                </c:pt>
                <c:pt idx="5">
                  <c:v>575</c:v>
                </c:pt>
                <c:pt idx="6">
                  <c:v>121</c:v>
                </c:pt>
              </c:numCache>
            </c:numRef>
          </c:val>
          <c:extLst>
            <c:ext xmlns:c16="http://schemas.microsoft.com/office/drawing/2014/chart" uri="{C3380CC4-5D6E-409C-BE32-E72D297353CC}">
              <c16:uniqueId val="{00000000-F187-4D3C-8B5E-74E75F261E85}"/>
            </c:ext>
          </c:extLst>
        </c:ser>
        <c:dLbls>
          <c:showLegendKey val="0"/>
          <c:showVal val="1"/>
          <c:showCatName val="0"/>
          <c:showSerName val="0"/>
          <c:showPercent val="0"/>
          <c:showBubbleSize val="0"/>
        </c:dLbls>
        <c:gapWidth val="150"/>
        <c:axId val="49124096"/>
        <c:axId val="49126016"/>
      </c:barChart>
      <c:catAx>
        <c:axId val="49124096"/>
        <c:scaling>
          <c:orientation val="minMax"/>
        </c:scaling>
        <c:delete val="0"/>
        <c:axPos val="b"/>
        <c:title>
          <c:tx>
            <c:rich>
              <a:bodyPr/>
              <a:lstStyle/>
              <a:p>
                <a:pPr>
                  <a:defRPr/>
                </a:pPr>
                <a:r>
                  <a:rPr lang="en-US"/>
                  <a:t>Station</a:t>
                </a:r>
              </a:p>
            </c:rich>
          </c:tx>
          <c:layout>
            <c:manualLayout>
              <c:xMode val="edge"/>
              <c:yMode val="edge"/>
              <c:x val="0.46554521593891685"/>
              <c:y val="0.8704517749234929"/>
            </c:manualLayout>
          </c:layout>
          <c:overlay val="0"/>
        </c:title>
        <c:numFmt formatCode="General" sourceLinked="1"/>
        <c:majorTickMark val="out"/>
        <c:minorTickMark val="none"/>
        <c:tickLblPos val="nextTo"/>
        <c:txPr>
          <a:bodyPr rot="0"/>
          <a:lstStyle/>
          <a:p>
            <a:pPr>
              <a:defRPr>
                <a:latin typeface="Arial" pitchFamily="34" charset="0"/>
                <a:cs typeface="Arial" pitchFamily="34" charset="0"/>
              </a:defRPr>
            </a:pPr>
            <a:endParaRPr lang="ar-SA"/>
          </a:p>
        </c:txPr>
        <c:crossAx val="49126016"/>
        <c:crosses val="autoZero"/>
        <c:auto val="1"/>
        <c:lblAlgn val="ctr"/>
        <c:lblOffset val="100"/>
        <c:tickLblSkip val="1"/>
        <c:noMultiLvlLbl val="0"/>
      </c:catAx>
      <c:valAx>
        <c:axId val="49126016"/>
        <c:scaling>
          <c:orientation val="minMax"/>
          <c:max val="1000"/>
          <c:min val="0"/>
        </c:scaling>
        <c:delete val="0"/>
        <c:axPos val="l"/>
        <c:title>
          <c:tx>
            <c:rich>
              <a:bodyPr rot="-5400000" vert="horz"/>
              <a:lstStyle/>
              <a:p>
                <a:pPr>
                  <a:defRPr/>
                </a:pPr>
                <a:r>
                  <a:rPr lang="en-US" sz="799" b="1" i="0" u="none" strike="noStrike" baseline="0"/>
                  <a:t>Annual Rainfall Quantity (mm) </a:t>
                </a:r>
                <a:endParaRPr lang="en-US"/>
              </a:p>
            </c:rich>
          </c:tx>
          <c:layout>
            <c:manualLayout>
              <c:xMode val="edge"/>
              <c:yMode val="edge"/>
              <c:x val="3.3563986319891831E-4"/>
              <c:y val="9.2251549951605005E-2"/>
            </c:manualLayout>
          </c:layout>
          <c:overlay val="0"/>
        </c:title>
        <c:numFmt formatCode="General" sourceLinked="1"/>
        <c:majorTickMark val="out"/>
        <c:minorTickMark val="none"/>
        <c:tickLblPos val="nextTo"/>
        <c:txPr>
          <a:bodyPr/>
          <a:lstStyle/>
          <a:p>
            <a:pPr>
              <a:defRPr sz="700">
                <a:latin typeface="Arial" pitchFamily="34" charset="0"/>
                <a:cs typeface="Arial" pitchFamily="34" charset="0"/>
              </a:defRPr>
            </a:pPr>
            <a:endParaRPr lang="ar-SA"/>
          </a:p>
        </c:txPr>
        <c:crossAx val="49124096"/>
        <c:crosses val="autoZero"/>
        <c:crossBetween val="between"/>
        <c:majorUnit val="200"/>
      </c:valAx>
    </c:plotArea>
    <c:plotVisOnly val="1"/>
    <c:dispBlanksAs val="zero"/>
    <c:showDLblsOverMax val="0"/>
  </c:chart>
  <c:spPr>
    <a:noFill/>
    <a:ln>
      <a:noFill/>
    </a:ln>
  </c:spPr>
  <c:txPr>
    <a:bodyPr/>
    <a:lstStyle/>
    <a:p>
      <a:pPr>
        <a:defRPr sz="799">
          <a:latin typeface="Arial (Body)"/>
        </a:defRPr>
      </a:pPr>
      <a:endParaRPr lang="ar-S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434481078003041"/>
          <c:y val="5.7762824291669186E-2"/>
          <c:w val="0.84599814497539483"/>
          <c:h val="0.63808007288663782"/>
        </c:manualLayout>
      </c:layout>
      <c:barChart>
        <c:barDir val="col"/>
        <c:grouping val="clustered"/>
        <c:varyColors val="0"/>
        <c:ser>
          <c:idx val="0"/>
          <c:order val="0"/>
          <c:tx>
            <c:strRef>
              <c:f>Sheet1!$B$1</c:f>
              <c:strCache>
                <c:ptCount val="1"/>
                <c:pt idx="0">
                  <c:v>2018</c:v>
                </c:pt>
              </c:strCache>
            </c:strRef>
          </c:tx>
          <c:invertIfNegative val="0"/>
          <c:dLbls>
            <c:dLbl>
              <c:idx val="0"/>
              <c:layout/>
              <c:tx>
                <c:rich>
                  <a:bodyPr/>
                  <a:lstStyle/>
                  <a:p>
                    <a:r>
                      <a:rPr lang="en-US"/>
                      <a:t>15.6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EF2-487A-A00F-73E339DD528F}"/>
                </c:ext>
              </c:extLst>
            </c:dLbl>
            <c:dLbl>
              <c:idx val="1"/>
              <c:layout>
                <c:manualLayout>
                  <c:x val="3.154574132492218E-3"/>
                  <c:y val="5.0359712230215833E-2"/>
                </c:manualLayout>
              </c:layout>
              <c:tx>
                <c:rich>
                  <a:bodyPr/>
                  <a:lstStyle/>
                  <a:p>
                    <a:r>
                      <a:rPr lang="en-US" sz="800">
                        <a:latin typeface="Arial" pitchFamily="34" charset="0"/>
                        <a:cs typeface="Arial" pitchFamily="34" charset="0"/>
                      </a:rPr>
                      <a:t>12.8</a:t>
                    </a:r>
                    <a:endParaRPr lang="en-US"/>
                  </a:p>
                  <a:p>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EF2-487A-A00F-73E339DD528F}"/>
                </c:ext>
              </c:extLst>
            </c:dLbl>
            <c:dLbl>
              <c:idx val="2"/>
              <c:layout/>
              <c:tx>
                <c:rich>
                  <a:bodyPr/>
                  <a:lstStyle/>
                  <a:p>
                    <a:r>
                      <a:rPr lang="en-US"/>
                      <a:t>2.8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EF2-487A-A00F-73E339DD528F}"/>
                </c:ext>
              </c:extLst>
            </c:dLbl>
            <c:spPr>
              <a:noFill/>
              <a:ln>
                <a:noFill/>
              </a:ln>
              <a:effectLst/>
            </c:spPr>
            <c:txPr>
              <a:bodyPr/>
              <a:lstStyle/>
              <a:p>
                <a:pPr>
                  <a:defRPr sz="8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Sheet1!$B$2:$B$4</c:f>
              <c:numCache>
                <c:formatCode>#,##0.0</c:formatCode>
                <c:ptCount val="3"/>
                <c:pt idx="0" formatCode="0.0">
                  <c:v>15.6</c:v>
                </c:pt>
                <c:pt idx="1">
                  <c:v>12.8</c:v>
                </c:pt>
                <c:pt idx="2" formatCode="0.0">
                  <c:v>2.8</c:v>
                </c:pt>
              </c:numCache>
            </c:numRef>
          </c:val>
          <c:extLst>
            <c:ext xmlns:c16="http://schemas.microsoft.com/office/drawing/2014/chart" uri="{C3380CC4-5D6E-409C-BE32-E72D297353CC}">
              <c16:uniqueId val="{00000003-7EF2-487A-A00F-73E339DD528F}"/>
            </c:ext>
          </c:extLst>
        </c:ser>
        <c:ser>
          <c:idx val="1"/>
          <c:order val="1"/>
          <c:tx>
            <c:strRef>
              <c:f>Sheet1!$C$1</c:f>
              <c:strCache>
                <c:ptCount val="1"/>
                <c:pt idx="0">
                  <c:v>2019</c:v>
                </c:pt>
              </c:strCache>
            </c:strRef>
          </c:tx>
          <c:invertIfNegative val="0"/>
          <c:dLbls>
            <c:dLbl>
              <c:idx val="0"/>
              <c:layout/>
              <c:tx>
                <c:rich>
                  <a:bodyPr/>
                  <a:lstStyle/>
                  <a:p>
                    <a:r>
                      <a:rPr lang="en-US"/>
                      <a:t>15.8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EF2-487A-A00F-73E339DD528F}"/>
                </c:ext>
              </c:extLst>
            </c:dLbl>
            <c:dLbl>
              <c:idx val="1"/>
              <c:layout/>
              <c:tx>
                <c:rich>
                  <a:bodyPr/>
                  <a:lstStyle/>
                  <a:p>
                    <a:r>
                      <a:rPr lang="en-US"/>
                      <a:t>13.0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EF2-487A-A00F-73E339DD528F}"/>
                </c:ext>
              </c:extLst>
            </c:dLbl>
            <c:dLbl>
              <c:idx val="2"/>
              <c:layout/>
              <c:tx>
                <c:rich>
                  <a:bodyPr/>
                  <a:lstStyle/>
                  <a:p>
                    <a:r>
                      <a:rPr lang="en-US"/>
                      <a:t>2.8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EF2-487A-A00F-73E339DD528F}"/>
                </c:ext>
              </c:extLst>
            </c:dLbl>
            <c:spPr>
              <a:noFill/>
              <a:ln>
                <a:noFill/>
              </a:ln>
              <a:effectLst/>
            </c:spPr>
            <c:txPr>
              <a:bodyPr/>
              <a:lstStyle/>
              <a:p>
                <a:pPr>
                  <a:defRPr sz="8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Palestine</c:v>
                </c:pt>
                <c:pt idx="1">
                  <c:v>West Bank</c:v>
                </c:pt>
                <c:pt idx="2">
                  <c:v>Gaza Strip</c:v>
                </c:pt>
              </c:strCache>
            </c:strRef>
          </c:cat>
          <c:val>
            <c:numRef>
              <c:f>Sheet1!$C$2:$C$4</c:f>
              <c:numCache>
                <c:formatCode>#,##0.0</c:formatCode>
                <c:ptCount val="3"/>
                <c:pt idx="0" formatCode="0.0">
                  <c:v>15.8</c:v>
                </c:pt>
                <c:pt idx="1">
                  <c:v>12.9</c:v>
                </c:pt>
                <c:pt idx="2" formatCode="0.0">
                  <c:v>2.8</c:v>
                </c:pt>
              </c:numCache>
            </c:numRef>
          </c:val>
          <c:extLst>
            <c:ext xmlns:c16="http://schemas.microsoft.com/office/drawing/2014/chart" uri="{C3380CC4-5D6E-409C-BE32-E72D297353CC}">
              <c16:uniqueId val="{00000007-7EF2-487A-A00F-73E339DD528F}"/>
            </c:ext>
          </c:extLst>
        </c:ser>
        <c:ser>
          <c:idx val="2"/>
          <c:order val="2"/>
          <c:tx>
            <c:strRef>
              <c:f>Sheet1!$D$1</c:f>
              <c:strCache>
                <c:ptCount val="1"/>
                <c:pt idx="0">
                  <c:v>2020</c:v>
                </c:pt>
              </c:strCache>
            </c:strRef>
          </c:tx>
          <c:invertIfNegative val="0"/>
          <c:dLbls>
            <c:dLbl>
              <c:idx val="0"/>
              <c:layout/>
              <c:tx>
                <c:rich>
                  <a:bodyPr/>
                  <a:lstStyle/>
                  <a:p>
                    <a:r>
                      <a:rPr lang="en-US"/>
                      <a:t>14.0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EF2-487A-A00F-73E339DD528F}"/>
                </c:ext>
              </c:extLst>
            </c:dLbl>
            <c:dLbl>
              <c:idx val="1"/>
              <c:layout/>
              <c:tx>
                <c:rich>
                  <a:bodyPr/>
                  <a:lstStyle/>
                  <a:p>
                    <a:r>
                      <a:rPr lang="en-US"/>
                      <a:t>11.5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EF2-487A-A00F-73E339DD528F}"/>
                </c:ext>
              </c:extLst>
            </c:dLbl>
            <c:spPr>
              <a:noFill/>
              <a:ln>
                <a:noFill/>
              </a:ln>
              <a:effectLst/>
            </c:spPr>
            <c:txPr>
              <a:bodyPr/>
              <a:lstStyle/>
              <a:p>
                <a:pPr>
                  <a:defRPr sz="8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Palestine</c:v>
                </c:pt>
                <c:pt idx="1">
                  <c:v>West Bank</c:v>
                </c:pt>
                <c:pt idx="2">
                  <c:v>Gaza Strip</c:v>
                </c:pt>
              </c:strCache>
            </c:strRef>
          </c:cat>
          <c:val>
            <c:numRef>
              <c:f>Sheet1!$D$2:$D$4</c:f>
              <c:numCache>
                <c:formatCode>#,##0.0</c:formatCode>
                <c:ptCount val="3"/>
                <c:pt idx="0" formatCode="0.0">
                  <c:v>14.0154</c:v>
                </c:pt>
                <c:pt idx="1">
                  <c:v>11.534000000000001</c:v>
                </c:pt>
                <c:pt idx="2" formatCode="0.0">
                  <c:v>2.5</c:v>
                </c:pt>
              </c:numCache>
            </c:numRef>
          </c:val>
          <c:extLst>
            <c:ext xmlns:c16="http://schemas.microsoft.com/office/drawing/2014/chart" uri="{C3380CC4-5D6E-409C-BE32-E72D297353CC}">
              <c16:uniqueId val="{0000000A-7EF2-487A-A00F-73E339DD528F}"/>
            </c:ext>
          </c:extLst>
        </c:ser>
        <c:dLbls>
          <c:showLegendKey val="0"/>
          <c:showVal val="1"/>
          <c:showCatName val="0"/>
          <c:showSerName val="0"/>
          <c:showPercent val="0"/>
          <c:showBubbleSize val="0"/>
        </c:dLbls>
        <c:gapWidth val="150"/>
        <c:axId val="105814656"/>
        <c:axId val="117641984"/>
      </c:barChart>
      <c:catAx>
        <c:axId val="105814656"/>
        <c:scaling>
          <c:orientation val="minMax"/>
        </c:scaling>
        <c:delete val="0"/>
        <c:axPos val="b"/>
        <c:title>
          <c:tx>
            <c:rich>
              <a:bodyPr/>
              <a:lstStyle/>
              <a:p>
                <a:pPr rtl="1">
                  <a:defRPr/>
                </a:pPr>
                <a:r>
                  <a:rPr lang="en-US" sz="800">
                    <a:latin typeface="Arial" pitchFamily="34" charset="0"/>
                    <a:cs typeface="Arial" pitchFamily="34" charset="0"/>
                  </a:rPr>
                  <a:t>Region</a:t>
                </a:r>
              </a:p>
            </c:rich>
          </c:tx>
          <c:layout>
            <c:manualLayout>
              <c:xMode val="edge"/>
              <c:yMode val="edge"/>
              <c:x val="0.45766065086483232"/>
              <c:y val="0.85003036515290409"/>
            </c:manualLayout>
          </c:layout>
          <c:overlay val="0"/>
        </c:title>
        <c:numFmt formatCode="General" sourceLinked="0"/>
        <c:majorTickMark val="out"/>
        <c:minorTickMark val="none"/>
        <c:tickLblPos val="nextTo"/>
        <c:txPr>
          <a:bodyPr/>
          <a:lstStyle/>
          <a:p>
            <a:pPr>
              <a:defRPr sz="800">
                <a:latin typeface="Arial" pitchFamily="34" charset="0"/>
                <a:cs typeface="Arial" pitchFamily="34" charset="0"/>
              </a:defRPr>
            </a:pPr>
            <a:endParaRPr lang="ar-SA"/>
          </a:p>
        </c:txPr>
        <c:crossAx val="117641984"/>
        <c:crosses val="autoZero"/>
        <c:auto val="1"/>
        <c:lblAlgn val="ctr"/>
        <c:lblOffset val="100"/>
        <c:noMultiLvlLbl val="0"/>
      </c:catAx>
      <c:valAx>
        <c:axId val="117641984"/>
        <c:scaling>
          <c:orientation val="minMax"/>
          <c:max val="16"/>
          <c:min val="0"/>
        </c:scaling>
        <c:delete val="0"/>
        <c:axPos val="l"/>
        <c:title>
          <c:tx>
            <c:rich>
              <a:bodyPr rot="-5400000" vert="horz"/>
              <a:lstStyle/>
              <a:p>
                <a:pPr rtl="1">
                  <a:defRPr/>
                </a:pPr>
                <a:r>
                  <a:rPr lang="en-US"/>
                  <a:t>Value</a:t>
                </a:r>
              </a:p>
            </c:rich>
          </c:tx>
          <c:layout/>
          <c:overlay val="0"/>
        </c:title>
        <c:numFmt formatCode="0" sourceLinked="0"/>
        <c:majorTickMark val="out"/>
        <c:minorTickMark val="none"/>
        <c:tickLblPos val="nextTo"/>
        <c:crossAx val="105814656"/>
        <c:crosses val="autoZero"/>
        <c:crossBetween val="between"/>
        <c:majorUnit val="4"/>
      </c:valAx>
    </c:plotArea>
    <c:legend>
      <c:legendPos val="r"/>
      <c:layout>
        <c:manualLayout>
          <c:xMode val="edge"/>
          <c:yMode val="edge"/>
          <c:x val="0.86033839040988735"/>
          <c:y val="4.9266139291674178E-2"/>
          <c:w val="0.11314083515893306"/>
          <c:h val="0.2633873688013893"/>
        </c:manualLayout>
      </c:layout>
      <c:overlay val="0"/>
      <c:txPr>
        <a:bodyPr/>
        <a:lstStyle/>
        <a:p>
          <a:pPr rtl="0">
            <a:defRPr/>
          </a:pPr>
          <a:endParaRPr lang="ar-SA"/>
        </a:p>
      </c:txPr>
    </c:legend>
    <c:plotVisOnly val="1"/>
    <c:dispBlanksAs val="gap"/>
    <c:showDLblsOverMax val="0"/>
  </c:chart>
  <c:spPr>
    <a:noFill/>
    <a:ln w="3175">
      <a:noFill/>
      <a:round/>
    </a:ln>
  </c:spPr>
  <c:txPr>
    <a:bodyPr/>
    <a:lstStyle/>
    <a:p>
      <a:pPr>
        <a:defRPr sz="900">
          <a:cs typeface="+mn-cs"/>
        </a:defRPr>
      </a:pPr>
      <a:endParaRPr lang="ar-SA"/>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40529549191018"/>
          <c:y val="0.15241590736117333"/>
          <c:w val="0.81321920937357228"/>
          <c:h val="0.7058347381374076"/>
        </c:manualLayout>
      </c:layout>
      <c:areaChart>
        <c:grouping val="standard"/>
        <c:varyColors val="0"/>
        <c:ser>
          <c:idx val="0"/>
          <c:order val="0"/>
          <c:tx>
            <c:strRef>
              <c:f>Sheet1!$A$2</c:f>
              <c:strCache>
                <c:ptCount val="1"/>
                <c:pt idx="0">
                  <c:v> Imports in Goods</c:v>
                </c:pt>
              </c:strCache>
            </c:strRef>
          </c:tx>
          <c:spPr>
            <a:solidFill>
              <a:srgbClr val="4BACC6">
                <a:lumMod val="20000"/>
                <a:lumOff val="80000"/>
                <a:alpha val="70000"/>
              </a:srgbClr>
            </a:solidFill>
            <a:ln w="12700">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0-84CD-4CB5-BB0D-6CE6D6EF818C}"/>
                </c:ext>
              </c:extLst>
            </c:dLbl>
            <c:dLbl>
              <c:idx val="1"/>
              <c:delete val="1"/>
              <c:extLst>
                <c:ext xmlns:c15="http://schemas.microsoft.com/office/drawing/2012/chart" uri="{CE6537A1-D6FC-4f65-9D91-7224C49458BB}"/>
                <c:ext xmlns:c16="http://schemas.microsoft.com/office/drawing/2014/chart" uri="{C3380CC4-5D6E-409C-BE32-E72D297353CC}">
                  <c16:uniqueId val="{00000001-84CD-4CB5-BB0D-6CE6D6EF818C}"/>
                </c:ext>
              </c:extLst>
            </c:dLbl>
            <c:dLbl>
              <c:idx val="2"/>
              <c:delete val="1"/>
              <c:extLst>
                <c:ext xmlns:c15="http://schemas.microsoft.com/office/drawing/2012/chart" uri="{CE6537A1-D6FC-4f65-9D91-7224C49458BB}"/>
                <c:ext xmlns:c16="http://schemas.microsoft.com/office/drawing/2014/chart" uri="{C3380CC4-5D6E-409C-BE32-E72D297353CC}">
                  <c16:uniqueId val="{00000002-84CD-4CB5-BB0D-6CE6D6EF818C}"/>
                </c:ext>
              </c:extLst>
            </c:dLbl>
            <c:dLbl>
              <c:idx val="3"/>
              <c:delete val="1"/>
              <c:extLst>
                <c:ext xmlns:c15="http://schemas.microsoft.com/office/drawing/2012/chart" uri="{CE6537A1-D6FC-4f65-9D91-7224C49458BB}"/>
                <c:ext xmlns:c16="http://schemas.microsoft.com/office/drawing/2014/chart" uri="{C3380CC4-5D6E-409C-BE32-E72D297353CC}">
                  <c16:uniqueId val="{00000003-84CD-4CB5-BB0D-6CE6D6EF818C}"/>
                </c:ext>
              </c:extLst>
            </c:dLbl>
            <c:dLbl>
              <c:idx val="4"/>
              <c:delete val="1"/>
              <c:extLst>
                <c:ext xmlns:c15="http://schemas.microsoft.com/office/drawing/2012/chart" uri="{CE6537A1-D6FC-4f65-9D91-7224C49458BB}"/>
                <c:ext xmlns:c16="http://schemas.microsoft.com/office/drawing/2014/chart" uri="{C3380CC4-5D6E-409C-BE32-E72D297353CC}">
                  <c16:uniqueId val="{00000004-84CD-4CB5-BB0D-6CE6D6EF818C}"/>
                </c:ext>
              </c:extLst>
            </c:dLbl>
            <c:dLbl>
              <c:idx val="5"/>
              <c:delete val="1"/>
              <c:extLst>
                <c:ext xmlns:c15="http://schemas.microsoft.com/office/drawing/2012/chart" uri="{CE6537A1-D6FC-4f65-9D91-7224C49458BB}"/>
                <c:ext xmlns:c16="http://schemas.microsoft.com/office/drawing/2014/chart" uri="{C3380CC4-5D6E-409C-BE32-E72D297353CC}">
                  <c16:uniqueId val="{00000005-84CD-4CB5-BB0D-6CE6D6EF818C}"/>
                </c:ext>
              </c:extLst>
            </c:dLbl>
            <c:dLbl>
              <c:idx val="6"/>
              <c:delete val="1"/>
              <c:extLst>
                <c:ext xmlns:c15="http://schemas.microsoft.com/office/drawing/2012/chart" uri="{CE6537A1-D6FC-4f65-9D91-7224C49458BB}"/>
                <c:ext xmlns:c16="http://schemas.microsoft.com/office/drawing/2014/chart" uri="{C3380CC4-5D6E-409C-BE32-E72D297353CC}">
                  <c16:uniqueId val="{00000006-84CD-4CB5-BB0D-6CE6D6EF818C}"/>
                </c:ext>
              </c:extLst>
            </c:dLbl>
            <c:dLbl>
              <c:idx val="7"/>
              <c:delete val="1"/>
              <c:extLst>
                <c:ext xmlns:c15="http://schemas.microsoft.com/office/drawing/2012/chart" uri="{CE6537A1-D6FC-4f65-9D91-7224C49458BB}"/>
                <c:ext xmlns:c16="http://schemas.microsoft.com/office/drawing/2014/chart" uri="{C3380CC4-5D6E-409C-BE32-E72D297353CC}">
                  <c16:uniqueId val="{00000007-84CD-4CB5-BB0D-6CE6D6EF818C}"/>
                </c:ext>
              </c:extLst>
            </c:dLbl>
            <c:dLbl>
              <c:idx val="8"/>
              <c:delete val="1"/>
              <c:extLst>
                <c:ext xmlns:c15="http://schemas.microsoft.com/office/drawing/2012/chart" uri="{CE6537A1-D6FC-4f65-9D91-7224C49458BB}"/>
                <c:ext xmlns:c16="http://schemas.microsoft.com/office/drawing/2014/chart" uri="{C3380CC4-5D6E-409C-BE32-E72D297353CC}">
                  <c16:uniqueId val="{00000008-84CD-4CB5-BB0D-6CE6D6EF818C}"/>
                </c:ext>
              </c:extLst>
            </c:dLbl>
            <c:dLbl>
              <c:idx val="9"/>
              <c:delete val="1"/>
              <c:extLst>
                <c:ext xmlns:c15="http://schemas.microsoft.com/office/drawing/2012/chart" uri="{CE6537A1-D6FC-4f65-9D91-7224C49458BB}"/>
                <c:ext xmlns:c16="http://schemas.microsoft.com/office/drawing/2014/chart" uri="{C3380CC4-5D6E-409C-BE32-E72D297353CC}">
                  <c16:uniqueId val="{00000009-84CD-4CB5-BB0D-6CE6D6EF818C}"/>
                </c:ext>
              </c:extLst>
            </c:dLbl>
            <c:dLbl>
              <c:idx val="10"/>
              <c:delete val="1"/>
              <c:extLst>
                <c:ext xmlns:c15="http://schemas.microsoft.com/office/drawing/2012/chart" uri="{CE6537A1-D6FC-4f65-9D91-7224C49458BB}"/>
                <c:ext xmlns:c16="http://schemas.microsoft.com/office/drawing/2014/chart" uri="{C3380CC4-5D6E-409C-BE32-E72D297353CC}">
                  <c16:uniqueId val="{0000000A-84CD-4CB5-BB0D-6CE6D6EF818C}"/>
                </c:ext>
              </c:extLst>
            </c:dLbl>
            <c:dLbl>
              <c:idx val="11"/>
              <c:delete val="1"/>
              <c:extLst>
                <c:ext xmlns:c15="http://schemas.microsoft.com/office/drawing/2012/chart" uri="{CE6537A1-D6FC-4f65-9D91-7224C49458BB}"/>
                <c:ext xmlns:c16="http://schemas.microsoft.com/office/drawing/2014/chart" uri="{C3380CC4-5D6E-409C-BE32-E72D297353CC}">
                  <c16:uniqueId val="{0000000B-84CD-4CB5-BB0D-6CE6D6EF818C}"/>
                </c:ext>
              </c:extLst>
            </c:dLbl>
            <c:dLbl>
              <c:idx val="12"/>
              <c:delete val="1"/>
              <c:extLst>
                <c:ext xmlns:c15="http://schemas.microsoft.com/office/drawing/2012/chart" uri="{CE6537A1-D6FC-4f65-9D91-7224C49458BB}"/>
                <c:ext xmlns:c16="http://schemas.microsoft.com/office/drawing/2014/chart" uri="{C3380CC4-5D6E-409C-BE32-E72D297353CC}">
                  <c16:uniqueId val="{0000000C-84CD-4CB5-BB0D-6CE6D6EF818C}"/>
                </c:ext>
              </c:extLst>
            </c:dLbl>
            <c:dLbl>
              <c:idx val="13"/>
              <c:delete val="1"/>
              <c:extLst>
                <c:ext xmlns:c15="http://schemas.microsoft.com/office/drawing/2012/chart" uri="{CE6537A1-D6FC-4f65-9D91-7224C49458BB}"/>
                <c:ext xmlns:c16="http://schemas.microsoft.com/office/drawing/2014/chart" uri="{C3380CC4-5D6E-409C-BE32-E72D297353CC}">
                  <c16:uniqueId val="{0000000D-84CD-4CB5-BB0D-6CE6D6EF818C}"/>
                </c:ext>
              </c:extLst>
            </c:dLbl>
            <c:dLbl>
              <c:idx val="14"/>
              <c:delete val="1"/>
              <c:extLst>
                <c:ext xmlns:c15="http://schemas.microsoft.com/office/drawing/2012/chart" uri="{CE6537A1-D6FC-4f65-9D91-7224C49458BB}"/>
                <c:ext xmlns:c16="http://schemas.microsoft.com/office/drawing/2014/chart" uri="{C3380CC4-5D6E-409C-BE32-E72D297353CC}">
                  <c16:uniqueId val="{0000000E-84CD-4CB5-BB0D-6CE6D6EF818C}"/>
                </c:ext>
              </c:extLst>
            </c:dLbl>
            <c:dLbl>
              <c:idx val="15"/>
              <c:delete val="1"/>
              <c:extLst>
                <c:ext xmlns:c15="http://schemas.microsoft.com/office/drawing/2012/chart" uri="{CE6537A1-D6FC-4f65-9D91-7224C49458BB}"/>
                <c:ext xmlns:c16="http://schemas.microsoft.com/office/drawing/2014/chart" uri="{C3380CC4-5D6E-409C-BE32-E72D297353CC}">
                  <c16:uniqueId val="{0000000F-84CD-4CB5-BB0D-6CE6D6EF818C}"/>
                </c:ext>
              </c:extLst>
            </c:dLbl>
            <c:dLbl>
              <c:idx val="16"/>
              <c:delete val="1"/>
              <c:extLst>
                <c:ext xmlns:c15="http://schemas.microsoft.com/office/drawing/2012/chart" uri="{CE6537A1-D6FC-4f65-9D91-7224C49458BB}"/>
                <c:ext xmlns:c16="http://schemas.microsoft.com/office/drawing/2014/chart" uri="{C3380CC4-5D6E-409C-BE32-E72D297353CC}">
                  <c16:uniqueId val="{00000010-84CD-4CB5-BB0D-6CE6D6EF818C}"/>
                </c:ext>
              </c:extLst>
            </c:dLbl>
            <c:dLbl>
              <c:idx val="17"/>
              <c:delete val="1"/>
              <c:extLst>
                <c:ext xmlns:c15="http://schemas.microsoft.com/office/drawing/2012/chart" uri="{CE6537A1-D6FC-4f65-9D91-7224C49458BB}"/>
                <c:ext xmlns:c16="http://schemas.microsoft.com/office/drawing/2014/chart" uri="{C3380CC4-5D6E-409C-BE32-E72D297353CC}">
                  <c16:uniqueId val="{00000011-84CD-4CB5-BB0D-6CE6D6EF818C}"/>
                </c:ext>
              </c:extLst>
            </c:dLbl>
            <c:dLbl>
              <c:idx val="18"/>
              <c:delete val="1"/>
              <c:extLst>
                <c:ext xmlns:c15="http://schemas.microsoft.com/office/drawing/2012/chart" uri="{CE6537A1-D6FC-4f65-9D91-7224C49458BB}"/>
                <c:ext xmlns:c16="http://schemas.microsoft.com/office/drawing/2014/chart" uri="{C3380CC4-5D6E-409C-BE32-E72D297353CC}">
                  <c16:uniqueId val="{00000012-84CD-4CB5-BB0D-6CE6D6EF818C}"/>
                </c:ext>
              </c:extLst>
            </c:dLbl>
            <c:dLbl>
              <c:idx val="19"/>
              <c:delete val="1"/>
              <c:extLst>
                <c:ext xmlns:c15="http://schemas.microsoft.com/office/drawing/2012/chart" uri="{CE6537A1-D6FC-4f65-9D91-7224C49458BB}"/>
                <c:ext xmlns:c16="http://schemas.microsoft.com/office/drawing/2014/chart" uri="{C3380CC4-5D6E-409C-BE32-E72D297353CC}">
                  <c16:uniqueId val="{00000013-84CD-4CB5-BB0D-6CE6D6EF818C}"/>
                </c:ext>
              </c:extLst>
            </c:dLbl>
            <c:dLbl>
              <c:idx val="20"/>
              <c:layout>
                <c:manualLayout>
                  <c:x val="-2.8878970858493044E-2"/>
                  <c:y val="-0.18066847335140018"/>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84CD-4CB5-BB0D-6CE6D6EF818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Sheet1!$B$1:$V$1</c:f>
              <c:numCache>
                <c:formatCode>00</c:formatCode>
                <c:ptCount val="2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numCache>
            </c:numRef>
          </c:cat>
          <c:val>
            <c:numRef>
              <c:f>Sheet1!$B$2:$V$2</c:f>
              <c:numCache>
                <c:formatCode>#,##0.0</c:formatCode>
                <c:ptCount val="21"/>
                <c:pt idx="0">
                  <c:v>2382.8000000000002</c:v>
                </c:pt>
                <c:pt idx="1">
                  <c:v>2033.6</c:v>
                </c:pt>
                <c:pt idx="2">
                  <c:v>1515.6</c:v>
                </c:pt>
                <c:pt idx="3">
                  <c:v>1800.3</c:v>
                </c:pt>
                <c:pt idx="4">
                  <c:v>2373.1999999999998</c:v>
                </c:pt>
                <c:pt idx="5">
                  <c:v>2667.6</c:v>
                </c:pt>
                <c:pt idx="6">
                  <c:v>2758.7</c:v>
                </c:pt>
                <c:pt idx="7">
                  <c:v>3284</c:v>
                </c:pt>
                <c:pt idx="8">
                  <c:v>3466.2</c:v>
                </c:pt>
                <c:pt idx="9">
                  <c:v>3600.8</c:v>
                </c:pt>
                <c:pt idx="10">
                  <c:v>3958.5</c:v>
                </c:pt>
                <c:pt idx="11">
                  <c:v>4373.6000000000004</c:v>
                </c:pt>
                <c:pt idx="12">
                  <c:v>4697.3999999999996</c:v>
                </c:pt>
                <c:pt idx="13">
                  <c:v>5163.8999999999996</c:v>
                </c:pt>
                <c:pt idx="14">
                  <c:v>5683.2</c:v>
                </c:pt>
                <c:pt idx="15">
                  <c:v>5225.5</c:v>
                </c:pt>
                <c:pt idx="16">
                  <c:v>5363.8</c:v>
                </c:pt>
                <c:pt idx="17">
                  <c:v>5853.9</c:v>
                </c:pt>
                <c:pt idx="18">
                  <c:v>6539.6</c:v>
                </c:pt>
                <c:pt idx="19">
                  <c:v>6613.5</c:v>
                </c:pt>
                <c:pt idx="20">
                  <c:v>6063.4</c:v>
                </c:pt>
              </c:numCache>
            </c:numRef>
          </c:val>
          <c:extLst>
            <c:ext xmlns:c16="http://schemas.microsoft.com/office/drawing/2014/chart" uri="{C3380CC4-5D6E-409C-BE32-E72D297353CC}">
              <c16:uniqueId val="{00000015-84CD-4CB5-BB0D-6CE6D6EF818C}"/>
            </c:ext>
          </c:extLst>
        </c:ser>
        <c:ser>
          <c:idx val="1"/>
          <c:order val="1"/>
          <c:tx>
            <c:strRef>
              <c:f>Sheet1!$A$3</c:f>
              <c:strCache>
                <c:ptCount val="1"/>
                <c:pt idx="0">
                  <c:v> Exports in Goods</c:v>
                </c:pt>
              </c:strCache>
            </c:strRef>
          </c:tx>
          <c:spPr>
            <a:solidFill>
              <a:schemeClr val="bg1">
                <a:lumMod val="75000"/>
              </a:schemeClr>
            </a:solidFill>
            <a:ln w="12679">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16-84CD-4CB5-BB0D-6CE6D6EF818C}"/>
                </c:ext>
              </c:extLst>
            </c:dLbl>
            <c:dLbl>
              <c:idx val="1"/>
              <c:delete val="1"/>
              <c:extLst>
                <c:ext xmlns:c15="http://schemas.microsoft.com/office/drawing/2012/chart" uri="{CE6537A1-D6FC-4f65-9D91-7224C49458BB}"/>
                <c:ext xmlns:c16="http://schemas.microsoft.com/office/drawing/2014/chart" uri="{C3380CC4-5D6E-409C-BE32-E72D297353CC}">
                  <c16:uniqueId val="{00000017-84CD-4CB5-BB0D-6CE6D6EF818C}"/>
                </c:ext>
              </c:extLst>
            </c:dLbl>
            <c:dLbl>
              <c:idx val="2"/>
              <c:delete val="1"/>
              <c:extLst>
                <c:ext xmlns:c15="http://schemas.microsoft.com/office/drawing/2012/chart" uri="{CE6537A1-D6FC-4f65-9D91-7224C49458BB}"/>
                <c:ext xmlns:c16="http://schemas.microsoft.com/office/drawing/2014/chart" uri="{C3380CC4-5D6E-409C-BE32-E72D297353CC}">
                  <c16:uniqueId val="{00000018-84CD-4CB5-BB0D-6CE6D6EF818C}"/>
                </c:ext>
              </c:extLst>
            </c:dLbl>
            <c:dLbl>
              <c:idx val="3"/>
              <c:delete val="1"/>
              <c:extLst>
                <c:ext xmlns:c15="http://schemas.microsoft.com/office/drawing/2012/chart" uri="{CE6537A1-D6FC-4f65-9D91-7224C49458BB}"/>
                <c:ext xmlns:c16="http://schemas.microsoft.com/office/drawing/2014/chart" uri="{C3380CC4-5D6E-409C-BE32-E72D297353CC}">
                  <c16:uniqueId val="{00000019-84CD-4CB5-BB0D-6CE6D6EF818C}"/>
                </c:ext>
              </c:extLst>
            </c:dLbl>
            <c:dLbl>
              <c:idx val="4"/>
              <c:delete val="1"/>
              <c:extLst>
                <c:ext xmlns:c15="http://schemas.microsoft.com/office/drawing/2012/chart" uri="{CE6537A1-D6FC-4f65-9D91-7224C49458BB}"/>
                <c:ext xmlns:c16="http://schemas.microsoft.com/office/drawing/2014/chart" uri="{C3380CC4-5D6E-409C-BE32-E72D297353CC}">
                  <c16:uniqueId val="{0000001A-84CD-4CB5-BB0D-6CE6D6EF818C}"/>
                </c:ext>
              </c:extLst>
            </c:dLbl>
            <c:dLbl>
              <c:idx val="5"/>
              <c:delete val="1"/>
              <c:extLst>
                <c:ext xmlns:c15="http://schemas.microsoft.com/office/drawing/2012/chart" uri="{CE6537A1-D6FC-4f65-9D91-7224C49458BB}"/>
                <c:ext xmlns:c16="http://schemas.microsoft.com/office/drawing/2014/chart" uri="{C3380CC4-5D6E-409C-BE32-E72D297353CC}">
                  <c16:uniqueId val="{0000001B-84CD-4CB5-BB0D-6CE6D6EF818C}"/>
                </c:ext>
              </c:extLst>
            </c:dLbl>
            <c:dLbl>
              <c:idx val="6"/>
              <c:delete val="1"/>
              <c:extLst>
                <c:ext xmlns:c15="http://schemas.microsoft.com/office/drawing/2012/chart" uri="{CE6537A1-D6FC-4f65-9D91-7224C49458BB}"/>
                <c:ext xmlns:c16="http://schemas.microsoft.com/office/drawing/2014/chart" uri="{C3380CC4-5D6E-409C-BE32-E72D297353CC}">
                  <c16:uniqueId val="{0000001C-84CD-4CB5-BB0D-6CE6D6EF818C}"/>
                </c:ext>
              </c:extLst>
            </c:dLbl>
            <c:dLbl>
              <c:idx val="7"/>
              <c:delete val="1"/>
              <c:extLst>
                <c:ext xmlns:c15="http://schemas.microsoft.com/office/drawing/2012/chart" uri="{CE6537A1-D6FC-4f65-9D91-7224C49458BB}"/>
                <c:ext xmlns:c16="http://schemas.microsoft.com/office/drawing/2014/chart" uri="{C3380CC4-5D6E-409C-BE32-E72D297353CC}">
                  <c16:uniqueId val="{0000001D-84CD-4CB5-BB0D-6CE6D6EF818C}"/>
                </c:ext>
              </c:extLst>
            </c:dLbl>
            <c:dLbl>
              <c:idx val="8"/>
              <c:delete val="1"/>
              <c:extLst>
                <c:ext xmlns:c15="http://schemas.microsoft.com/office/drawing/2012/chart" uri="{CE6537A1-D6FC-4f65-9D91-7224C49458BB}"/>
                <c:ext xmlns:c16="http://schemas.microsoft.com/office/drawing/2014/chart" uri="{C3380CC4-5D6E-409C-BE32-E72D297353CC}">
                  <c16:uniqueId val="{0000001E-84CD-4CB5-BB0D-6CE6D6EF818C}"/>
                </c:ext>
              </c:extLst>
            </c:dLbl>
            <c:dLbl>
              <c:idx val="9"/>
              <c:delete val="1"/>
              <c:extLst>
                <c:ext xmlns:c15="http://schemas.microsoft.com/office/drawing/2012/chart" uri="{CE6537A1-D6FC-4f65-9D91-7224C49458BB}"/>
                <c:ext xmlns:c16="http://schemas.microsoft.com/office/drawing/2014/chart" uri="{C3380CC4-5D6E-409C-BE32-E72D297353CC}">
                  <c16:uniqueId val="{0000001F-84CD-4CB5-BB0D-6CE6D6EF818C}"/>
                </c:ext>
              </c:extLst>
            </c:dLbl>
            <c:dLbl>
              <c:idx val="10"/>
              <c:delete val="1"/>
              <c:extLst>
                <c:ext xmlns:c15="http://schemas.microsoft.com/office/drawing/2012/chart" uri="{CE6537A1-D6FC-4f65-9D91-7224C49458BB}"/>
                <c:ext xmlns:c16="http://schemas.microsoft.com/office/drawing/2014/chart" uri="{C3380CC4-5D6E-409C-BE32-E72D297353CC}">
                  <c16:uniqueId val="{00000020-84CD-4CB5-BB0D-6CE6D6EF818C}"/>
                </c:ext>
              </c:extLst>
            </c:dLbl>
            <c:dLbl>
              <c:idx val="11"/>
              <c:delete val="1"/>
              <c:extLst>
                <c:ext xmlns:c15="http://schemas.microsoft.com/office/drawing/2012/chart" uri="{CE6537A1-D6FC-4f65-9D91-7224C49458BB}"/>
                <c:ext xmlns:c16="http://schemas.microsoft.com/office/drawing/2014/chart" uri="{C3380CC4-5D6E-409C-BE32-E72D297353CC}">
                  <c16:uniqueId val="{00000021-84CD-4CB5-BB0D-6CE6D6EF818C}"/>
                </c:ext>
              </c:extLst>
            </c:dLbl>
            <c:dLbl>
              <c:idx val="12"/>
              <c:delete val="1"/>
              <c:extLst>
                <c:ext xmlns:c15="http://schemas.microsoft.com/office/drawing/2012/chart" uri="{CE6537A1-D6FC-4f65-9D91-7224C49458BB}"/>
                <c:ext xmlns:c16="http://schemas.microsoft.com/office/drawing/2014/chart" uri="{C3380CC4-5D6E-409C-BE32-E72D297353CC}">
                  <c16:uniqueId val="{00000022-84CD-4CB5-BB0D-6CE6D6EF818C}"/>
                </c:ext>
              </c:extLst>
            </c:dLbl>
            <c:dLbl>
              <c:idx val="13"/>
              <c:delete val="1"/>
              <c:extLst>
                <c:ext xmlns:c15="http://schemas.microsoft.com/office/drawing/2012/chart" uri="{CE6537A1-D6FC-4f65-9D91-7224C49458BB}"/>
                <c:ext xmlns:c16="http://schemas.microsoft.com/office/drawing/2014/chart" uri="{C3380CC4-5D6E-409C-BE32-E72D297353CC}">
                  <c16:uniqueId val="{00000023-84CD-4CB5-BB0D-6CE6D6EF818C}"/>
                </c:ext>
              </c:extLst>
            </c:dLbl>
            <c:dLbl>
              <c:idx val="14"/>
              <c:delete val="1"/>
              <c:extLst>
                <c:ext xmlns:c15="http://schemas.microsoft.com/office/drawing/2012/chart" uri="{CE6537A1-D6FC-4f65-9D91-7224C49458BB}"/>
                <c:ext xmlns:c16="http://schemas.microsoft.com/office/drawing/2014/chart" uri="{C3380CC4-5D6E-409C-BE32-E72D297353CC}">
                  <c16:uniqueId val="{00000024-84CD-4CB5-BB0D-6CE6D6EF818C}"/>
                </c:ext>
              </c:extLst>
            </c:dLbl>
            <c:dLbl>
              <c:idx val="15"/>
              <c:delete val="1"/>
              <c:extLst>
                <c:ext xmlns:c15="http://schemas.microsoft.com/office/drawing/2012/chart" uri="{CE6537A1-D6FC-4f65-9D91-7224C49458BB}"/>
                <c:ext xmlns:c16="http://schemas.microsoft.com/office/drawing/2014/chart" uri="{C3380CC4-5D6E-409C-BE32-E72D297353CC}">
                  <c16:uniqueId val="{00000025-84CD-4CB5-BB0D-6CE6D6EF818C}"/>
                </c:ext>
              </c:extLst>
            </c:dLbl>
            <c:dLbl>
              <c:idx val="16"/>
              <c:delete val="1"/>
              <c:extLst>
                <c:ext xmlns:c15="http://schemas.microsoft.com/office/drawing/2012/chart" uri="{CE6537A1-D6FC-4f65-9D91-7224C49458BB}"/>
                <c:ext xmlns:c16="http://schemas.microsoft.com/office/drawing/2014/chart" uri="{C3380CC4-5D6E-409C-BE32-E72D297353CC}">
                  <c16:uniqueId val="{00000026-84CD-4CB5-BB0D-6CE6D6EF818C}"/>
                </c:ext>
              </c:extLst>
            </c:dLbl>
            <c:dLbl>
              <c:idx val="17"/>
              <c:delete val="1"/>
              <c:extLst>
                <c:ext xmlns:c15="http://schemas.microsoft.com/office/drawing/2012/chart" uri="{CE6537A1-D6FC-4f65-9D91-7224C49458BB}"/>
                <c:ext xmlns:c16="http://schemas.microsoft.com/office/drawing/2014/chart" uri="{C3380CC4-5D6E-409C-BE32-E72D297353CC}">
                  <c16:uniqueId val="{00000027-84CD-4CB5-BB0D-6CE6D6EF818C}"/>
                </c:ext>
              </c:extLst>
            </c:dLbl>
            <c:dLbl>
              <c:idx val="18"/>
              <c:delete val="1"/>
              <c:extLst>
                <c:ext xmlns:c15="http://schemas.microsoft.com/office/drawing/2012/chart" uri="{CE6537A1-D6FC-4f65-9D91-7224C49458BB}"/>
                <c:ext xmlns:c16="http://schemas.microsoft.com/office/drawing/2014/chart" uri="{C3380CC4-5D6E-409C-BE32-E72D297353CC}">
                  <c16:uniqueId val="{00000028-84CD-4CB5-BB0D-6CE6D6EF818C}"/>
                </c:ext>
              </c:extLst>
            </c:dLbl>
            <c:dLbl>
              <c:idx val="19"/>
              <c:delete val="1"/>
              <c:extLst>
                <c:ext xmlns:c15="http://schemas.microsoft.com/office/drawing/2012/chart" uri="{CE6537A1-D6FC-4f65-9D91-7224C49458BB}"/>
                <c:ext xmlns:c16="http://schemas.microsoft.com/office/drawing/2014/chart" uri="{C3380CC4-5D6E-409C-BE32-E72D297353CC}">
                  <c16:uniqueId val="{00000029-84CD-4CB5-BB0D-6CE6D6EF818C}"/>
                </c:ext>
              </c:extLst>
            </c:dLbl>
            <c:dLbl>
              <c:idx val="20"/>
              <c:layout>
                <c:manualLayout>
                  <c:x val="-3.1504331845628772E-2"/>
                  <c:y val="-6.3233965672990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A-84CD-4CB5-BB0D-6CE6D6EF818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Sheet1!$B$1:$V$1</c:f>
              <c:numCache>
                <c:formatCode>00</c:formatCode>
                <c:ptCount val="2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numCache>
            </c:numRef>
          </c:cat>
          <c:val>
            <c:numRef>
              <c:f>Sheet1!$B$3:$V$3</c:f>
              <c:numCache>
                <c:formatCode>#,##0.0</c:formatCode>
                <c:ptCount val="21"/>
                <c:pt idx="0">
                  <c:v>400.9</c:v>
                </c:pt>
                <c:pt idx="1">
                  <c:v>290.3</c:v>
                </c:pt>
                <c:pt idx="2">
                  <c:v>240.9</c:v>
                </c:pt>
                <c:pt idx="3">
                  <c:v>279.7</c:v>
                </c:pt>
                <c:pt idx="4">
                  <c:v>312.7</c:v>
                </c:pt>
                <c:pt idx="5">
                  <c:v>335.4</c:v>
                </c:pt>
                <c:pt idx="6">
                  <c:v>366.7</c:v>
                </c:pt>
                <c:pt idx="7">
                  <c:v>513</c:v>
                </c:pt>
                <c:pt idx="8">
                  <c:v>558.4</c:v>
                </c:pt>
                <c:pt idx="9">
                  <c:v>518.4</c:v>
                </c:pt>
                <c:pt idx="10">
                  <c:v>575.5</c:v>
                </c:pt>
                <c:pt idx="11">
                  <c:v>745.7</c:v>
                </c:pt>
                <c:pt idx="12">
                  <c:v>782.4</c:v>
                </c:pt>
                <c:pt idx="13">
                  <c:v>900.6</c:v>
                </c:pt>
                <c:pt idx="14">
                  <c:v>943.7</c:v>
                </c:pt>
                <c:pt idx="15">
                  <c:v>957.8</c:v>
                </c:pt>
                <c:pt idx="16">
                  <c:v>926.5</c:v>
                </c:pt>
                <c:pt idx="17">
                  <c:v>1064.9000000000001</c:v>
                </c:pt>
                <c:pt idx="18">
                  <c:v>1155.5999999999999</c:v>
                </c:pt>
                <c:pt idx="19">
                  <c:v>1103.8</c:v>
                </c:pt>
                <c:pt idx="20">
                  <c:v>1054.5999999999999</c:v>
                </c:pt>
              </c:numCache>
            </c:numRef>
          </c:val>
          <c:extLst>
            <c:ext xmlns:c16="http://schemas.microsoft.com/office/drawing/2014/chart" uri="{C3380CC4-5D6E-409C-BE32-E72D297353CC}">
              <c16:uniqueId val="{0000002B-84CD-4CB5-BB0D-6CE6D6EF818C}"/>
            </c:ext>
          </c:extLst>
        </c:ser>
        <c:ser>
          <c:idx val="2"/>
          <c:order val="2"/>
          <c:tx>
            <c:strRef>
              <c:f>Sheet1!$A$4</c:f>
              <c:strCache>
                <c:ptCount val="1"/>
                <c:pt idx="0">
                  <c:v>  Net Trade Balance in Goods</c:v>
                </c:pt>
              </c:strCache>
            </c:strRef>
          </c:tx>
          <c:spPr>
            <a:solidFill>
              <a:schemeClr val="accent5">
                <a:lumMod val="75000"/>
              </a:schemeClr>
            </a:solidFill>
          </c:spPr>
          <c:dLbls>
            <c:dLbl>
              <c:idx val="0"/>
              <c:delete val="1"/>
              <c:extLst>
                <c:ext xmlns:c15="http://schemas.microsoft.com/office/drawing/2012/chart" uri="{CE6537A1-D6FC-4f65-9D91-7224C49458BB}"/>
                <c:ext xmlns:c16="http://schemas.microsoft.com/office/drawing/2014/chart" uri="{C3380CC4-5D6E-409C-BE32-E72D297353CC}">
                  <c16:uniqueId val="{0000002C-84CD-4CB5-BB0D-6CE6D6EF818C}"/>
                </c:ext>
              </c:extLst>
            </c:dLbl>
            <c:dLbl>
              <c:idx val="1"/>
              <c:delete val="1"/>
              <c:extLst>
                <c:ext xmlns:c15="http://schemas.microsoft.com/office/drawing/2012/chart" uri="{CE6537A1-D6FC-4f65-9D91-7224C49458BB}"/>
                <c:ext xmlns:c16="http://schemas.microsoft.com/office/drawing/2014/chart" uri="{C3380CC4-5D6E-409C-BE32-E72D297353CC}">
                  <c16:uniqueId val="{0000002D-84CD-4CB5-BB0D-6CE6D6EF818C}"/>
                </c:ext>
              </c:extLst>
            </c:dLbl>
            <c:dLbl>
              <c:idx val="2"/>
              <c:delete val="1"/>
              <c:extLst>
                <c:ext xmlns:c15="http://schemas.microsoft.com/office/drawing/2012/chart" uri="{CE6537A1-D6FC-4f65-9D91-7224C49458BB}"/>
                <c:ext xmlns:c16="http://schemas.microsoft.com/office/drawing/2014/chart" uri="{C3380CC4-5D6E-409C-BE32-E72D297353CC}">
                  <c16:uniqueId val="{0000002E-84CD-4CB5-BB0D-6CE6D6EF818C}"/>
                </c:ext>
              </c:extLst>
            </c:dLbl>
            <c:dLbl>
              <c:idx val="3"/>
              <c:delete val="1"/>
              <c:extLst>
                <c:ext xmlns:c15="http://schemas.microsoft.com/office/drawing/2012/chart" uri="{CE6537A1-D6FC-4f65-9D91-7224C49458BB}"/>
                <c:ext xmlns:c16="http://schemas.microsoft.com/office/drawing/2014/chart" uri="{C3380CC4-5D6E-409C-BE32-E72D297353CC}">
                  <c16:uniqueId val="{0000002F-84CD-4CB5-BB0D-6CE6D6EF818C}"/>
                </c:ext>
              </c:extLst>
            </c:dLbl>
            <c:dLbl>
              <c:idx val="4"/>
              <c:delete val="1"/>
              <c:extLst>
                <c:ext xmlns:c15="http://schemas.microsoft.com/office/drawing/2012/chart" uri="{CE6537A1-D6FC-4f65-9D91-7224C49458BB}"/>
                <c:ext xmlns:c16="http://schemas.microsoft.com/office/drawing/2014/chart" uri="{C3380CC4-5D6E-409C-BE32-E72D297353CC}">
                  <c16:uniqueId val="{00000030-84CD-4CB5-BB0D-6CE6D6EF818C}"/>
                </c:ext>
              </c:extLst>
            </c:dLbl>
            <c:dLbl>
              <c:idx val="5"/>
              <c:delete val="1"/>
              <c:extLst>
                <c:ext xmlns:c15="http://schemas.microsoft.com/office/drawing/2012/chart" uri="{CE6537A1-D6FC-4f65-9D91-7224C49458BB}"/>
                <c:ext xmlns:c16="http://schemas.microsoft.com/office/drawing/2014/chart" uri="{C3380CC4-5D6E-409C-BE32-E72D297353CC}">
                  <c16:uniqueId val="{00000031-84CD-4CB5-BB0D-6CE6D6EF818C}"/>
                </c:ext>
              </c:extLst>
            </c:dLbl>
            <c:dLbl>
              <c:idx val="6"/>
              <c:delete val="1"/>
              <c:extLst>
                <c:ext xmlns:c15="http://schemas.microsoft.com/office/drawing/2012/chart" uri="{CE6537A1-D6FC-4f65-9D91-7224C49458BB}"/>
                <c:ext xmlns:c16="http://schemas.microsoft.com/office/drawing/2014/chart" uri="{C3380CC4-5D6E-409C-BE32-E72D297353CC}">
                  <c16:uniqueId val="{00000032-84CD-4CB5-BB0D-6CE6D6EF818C}"/>
                </c:ext>
              </c:extLst>
            </c:dLbl>
            <c:dLbl>
              <c:idx val="7"/>
              <c:delete val="1"/>
              <c:extLst>
                <c:ext xmlns:c15="http://schemas.microsoft.com/office/drawing/2012/chart" uri="{CE6537A1-D6FC-4f65-9D91-7224C49458BB}"/>
                <c:ext xmlns:c16="http://schemas.microsoft.com/office/drawing/2014/chart" uri="{C3380CC4-5D6E-409C-BE32-E72D297353CC}">
                  <c16:uniqueId val="{00000033-84CD-4CB5-BB0D-6CE6D6EF818C}"/>
                </c:ext>
              </c:extLst>
            </c:dLbl>
            <c:dLbl>
              <c:idx val="8"/>
              <c:delete val="1"/>
              <c:extLst>
                <c:ext xmlns:c15="http://schemas.microsoft.com/office/drawing/2012/chart" uri="{CE6537A1-D6FC-4f65-9D91-7224C49458BB}"/>
                <c:ext xmlns:c16="http://schemas.microsoft.com/office/drawing/2014/chart" uri="{C3380CC4-5D6E-409C-BE32-E72D297353CC}">
                  <c16:uniqueId val="{00000034-84CD-4CB5-BB0D-6CE6D6EF818C}"/>
                </c:ext>
              </c:extLst>
            </c:dLbl>
            <c:dLbl>
              <c:idx val="9"/>
              <c:delete val="1"/>
              <c:extLst>
                <c:ext xmlns:c15="http://schemas.microsoft.com/office/drawing/2012/chart" uri="{CE6537A1-D6FC-4f65-9D91-7224C49458BB}"/>
                <c:ext xmlns:c16="http://schemas.microsoft.com/office/drawing/2014/chart" uri="{C3380CC4-5D6E-409C-BE32-E72D297353CC}">
                  <c16:uniqueId val="{00000035-84CD-4CB5-BB0D-6CE6D6EF818C}"/>
                </c:ext>
              </c:extLst>
            </c:dLbl>
            <c:dLbl>
              <c:idx val="10"/>
              <c:delete val="1"/>
              <c:extLst>
                <c:ext xmlns:c15="http://schemas.microsoft.com/office/drawing/2012/chart" uri="{CE6537A1-D6FC-4f65-9D91-7224C49458BB}"/>
                <c:ext xmlns:c16="http://schemas.microsoft.com/office/drawing/2014/chart" uri="{C3380CC4-5D6E-409C-BE32-E72D297353CC}">
                  <c16:uniqueId val="{00000036-84CD-4CB5-BB0D-6CE6D6EF818C}"/>
                </c:ext>
              </c:extLst>
            </c:dLbl>
            <c:dLbl>
              <c:idx val="11"/>
              <c:delete val="1"/>
              <c:extLst>
                <c:ext xmlns:c15="http://schemas.microsoft.com/office/drawing/2012/chart" uri="{CE6537A1-D6FC-4f65-9D91-7224C49458BB}"/>
                <c:ext xmlns:c16="http://schemas.microsoft.com/office/drawing/2014/chart" uri="{C3380CC4-5D6E-409C-BE32-E72D297353CC}">
                  <c16:uniqueId val="{00000037-84CD-4CB5-BB0D-6CE6D6EF818C}"/>
                </c:ext>
              </c:extLst>
            </c:dLbl>
            <c:dLbl>
              <c:idx val="12"/>
              <c:delete val="1"/>
              <c:extLst>
                <c:ext xmlns:c15="http://schemas.microsoft.com/office/drawing/2012/chart" uri="{CE6537A1-D6FC-4f65-9D91-7224C49458BB}"/>
                <c:ext xmlns:c16="http://schemas.microsoft.com/office/drawing/2014/chart" uri="{C3380CC4-5D6E-409C-BE32-E72D297353CC}">
                  <c16:uniqueId val="{00000038-84CD-4CB5-BB0D-6CE6D6EF818C}"/>
                </c:ext>
              </c:extLst>
            </c:dLbl>
            <c:dLbl>
              <c:idx val="13"/>
              <c:delete val="1"/>
              <c:extLst>
                <c:ext xmlns:c15="http://schemas.microsoft.com/office/drawing/2012/chart" uri="{CE6537A1-D6FC-4f65-9D91-7224C49458BB}"/>
                <c:ext xmlns:c16="http://schemas.microsoft.com/office/drawing/2014/chart" uri="{C3380CC4-5D6E-409C-BE32-E72D297353CC}">
                  <c16:uniqueId val="{00000039-84CD-4CB5-BB0D-6CE6D6EF818C}"/>
                </c:ext>
              </c:extLst>
            </c:dLbl>
            <c:dLbl>
              <c:idx val="14"/>
              <c:delete val="1"/>
              <c:extLst>
                <c:ext xmlns:c15="http://schemas.microsoft.com/office/drawing/2012/chart" uri="{CE6537A1-D6FC-4f65-9D91-7224C49458BB}"/>
                <c:ext xmlns:c16="http://schemas.microsoft.com/office/drawing/2014/chart" uri="{C3380CC4-5D6E-409C-BE32-E72D297353CC}">
                  <c16:uniqueId val="{0000003A-84CD-4CB5-BB0D-6CE6D6EF818C}"/>
                </c:ext>
              </c:extLst>
            </c:dLbl>
            <c:dLbl>
              <c:idx val="15"/>
              <c:delete val="1"/>
              <c:extLst>
                <c:ext xmlns:c15="http://schemas.microsoft.com/office/drawing/2012/chart" uri="{CE6537A1-D6FC-4f65-9D91-7224C49458BB}"/>
                <c:ext xmlns:c16="http://schemas.microsoft.com/office/drawing/2014/chart" uri="{C3380CC4-5D6E-409C-BE32-E72D297353CC}">
                  <c16:uniqueId val="{0000003B-84CD-4CB5-BB0D-6CE6D6EF818C}"/>
                </c:ext>
              </c:extLst>
            </c:dLbl>
            <c:dLbl>
              <c:idx val="16"/>
              <c:delete val="1"/>
              <c:extLst>
                <c:ext xmlns:c15="http://schemas.microsoft.com/office/drawing/2012/chart" uri="{CE6537A1-D6FC-4f65-9D91-7224C49458BB}"/>
                <c:ext xmlns:c16="http://schemas.microsoft.com/office/drawing/2014/chart" uri="{C3380CC4-5D6E-409C-BE32-E72D297353CC}">
                  <c16:uniqueId val="{0000003C-84CD-4CB5-BB0D-6CE6D6EF818C}"/>
                </c:ext>
              </c:extLst>
            </c:dLbl>
            <c:dLbl>
              <c:idx val="17"/>
              <c:delete val="1"/>
              <c:extLst>
                <c:ext xmlns:c15="http://schemas.microsoft.com/office/drawing/2012/chart" uri="{CE6537A1-D6FC-4f65-9D91-7224C49458BB}"/>
                <c:ext xmlns:c16="http://schemas.microsoft.com/office/drawing/2014/chart" uri="{C3380CC4-5D6E-409C-BE32-E72D297353CC}">
                  <c16:uniqueId val="{0000003D-84CD-4CB5-BB0D-6CE6D6EF818C}"/>
                </c:ext>
              </c:extLst>
            </c:dLbl>
            <c:dLbl>
              <c:idx val="18"/>
              <c:delete val="1"/>
              <c:extLst>
                <c:ext xmlns:c15="http://schemas.microsoft.com/office/drawing/2012/chart" uri="{CE6537A1-D6FC-4f65-9D91-7224C49458BB}"/>
                <c:ext xmlns:c16="http://schemas.microsoft.com/office/drawing/2014/chart" uri="{C3380CC4-5D6E-409C-BE32-E72D297353CC}">
                  <c16:uniqueId val="{0000003E-84CD-4CB5-BB0D-6CE6D6EF818C}"/>
                </c:ext>
              </c:extLst>
            </c:dLbl>
            <c:dLbl>
              <c:idx val="19"/>
              <c:delete val="1"/>
              <c:extLst>
                <c:ext xmlns:c15="http://schemas.microsoft.com/office/drawing/2012/chart" uri="{CE6537A1-D6FC-4f65-9D91-7224C49458BB}"/>
                <c:ext xmlns:c16="http://schemas.microsoft.com/office/drawing/2014/chart" uri="{C3380CC4-5D6E-409C-BE32-E72D297353CC}">
                  <c16:uniqueId val="{0000003F-84CD-4CB5-BB0D-6CE6D6EF818C}"/>
                </c:ext>
              </c:extLst>
            </c:dLbl>
            <c:dLbl>
              <c:idx val="20"/>
              <c:layout>
                <c:manualLayout>
                  <c:x val="-2.1002887897085848E-2"/>
                  <c:y val="0.15356820234869006"/>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40-84CD-4CB5-BB0D-6CE6D6EF818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Sheet1!$B$1:$V$1</c:f>
              <c:numCache>
                <c:formatCode>00</c:formatCode>
                <c:ptCount val="2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numCache>
            </c:numRef>
          </c:cat>
          <c:val>
            <c:numRef>
              <c:f>Sheet1!$B$4:$V$4</c:f>
              <c:numCache>
                <c:formatCode>#,##0.0</c:formatCode>
                <c:ptCount val="21"/>
                <c:pt idx="0">
                  <c:v>-1981.9</c:v>
                </c:pt>
                <c:pt idx="1">
                  <c:v>-1743.3</c:v>
                </c:pt>
                <c:pt idx="2">
                  <c:v>-1274.6999999999998</c:v>
                </c:pt>
                <c:pt idx="3">
                  <c:v>-1520.6</c:v>
                </c:pt>
                <c:pt idx="4">
                  <c:v>-2060.5</c:v>
                </c:pt>
                <c:pt idx="5">
                  <c:v>-2332.1999999999998</c:v>
                </c:pt>
                <c:pt idx="6">
                  <c:v>-2392</c:v>
                </c:pt>
                <c:pt idx="7">
                  <c:v>-2771</c:v>
                </c:pt>
                <c:pt idx="8">
                  <c:v>-2907.7999999999997</c:v>
                </c:pt>
                <c:pt idx="9">
                  <c:v>-3082.4</c:v>
                </c:pt>
                <c:pt idx="10">
                  <c:v>-3383</c:v>
                </c:pt>
                <c:pt idx="11">
                  <c:v>-3627.9000000000005</c:v>
                </c:pt>
                <c:pt idx="12">
                  <c:v>-3914.9999999999995</c:v>
                </c:pt>
                <c:pt idx="13">
                  <c:v>-4263.2999999999993</c:v>
                </c:pt>
                <c:pt idx="14">
                  <c:v>-4739.5</c:v>
                </c:pt>
                <c:pt idx="15">
                  <c:v>-4267.7</c:v>
                </c:pt>
                <c:pt idx="16">
                  <c:v>-4437.3</c:v>
                </c:pt>
                <c:pt idx="17">
                  <c:v>-4789</c:v>
                </c:pt>
                <c:pt idx="18">
                  <c:v>-5384</c:v>
                </c:pt>
                <c:pt idx="19">
                  <c:v>-5509.6</c:v>
                </c:pt>
                <c:pt idx="20">
                  <c:v>-5008.7999999999993</c:v>
                </c:pt>
              </c:numCache>
            </c:numRef>
          </c:val>
          <c:extLst>
            <c:ext xmlns:c16="http://schemas.microsoft.com/office/drawing/2014/chart" uri="{C3380CC4-5D6E-409C-BE32-E72D297353CC}">
              <c16:uniqueId val="{00000041-84CD-4CB5-BB0D-6CE6D6EF818C}"/>
            </c:ext>
          </c:extLst>
        </c:ser>
        <c:dLbls>
          <c:showLegendKey val="0"/>
          <c:showVal val="1"/>
          <c:showCatName val="0"/>
          <c:showSerName val="0"/>
          <c:showPercent val="0"/>
          <c:showBubbleSize val="0"/>
        </c:dLbls>
        <c:axId val="1508083264"/>
        <c:axId val="1508093600"/>
      </c:areaChart>
      <c:catAx>
        <c:axId val="1508083264"/>
        <c:scaling>
          <c:orientation val="minMax"/>
        </c:scaling>
        <c:delete val="0"/>
        <c:axPos val="b"/>
        <c:title>
          <c:tx>
            <c:rich>
              <a:bodyPr/>
              <a:lstStyle/>
              <a:p>
                <a:pPr algn="l">
                  <a:defRPr b="1"/>
                </a:pPr>
                <a:r>
                  <a:rPr lang="en-US" b="1"/>
                  <a:t>Year</a:t>
                </a:r>
                <a:endParaRPr lang="ar-SA" b="1"/>
              </a:p>
            </c:rich>
          </c:tx>
          <c:layout>
            <c:manualLayout>
              <c:xMode val="edge"/>
              <c:yMode val="edge"/>
              <c:x val="0.45668154371226033"/>
              <c:y val="0.9189189765913407"/>
            </c:manualLayout>
          </c:layout>
          <c:overlay val="0"/>
          <c:spPr>
            <a:noFill/>
            <a:ln w="25358">
              <a:noFill/>
            </a:ln>
          </c:spPr>
        </c:title>
        <c:numFmt formatCode="00" sourceLinked="1"/>
        <c:majorTickMark val="out"/>
        <c:minorTickMark val="none"/>
        <c:tickLblPos val="nextTo"/>
        <c:spPr>
          <a:ln w="3170">
            <a:solidFill>
              <a:srgbClr val="000000"/>
            </a:solidFill>
            <a:prstDash val="solid"/>
          </a:ln>
        </c:spPr>
        <c:txPr>
          <a:bodyPr rot="0" vert="horz"/>
          <a:lstStyle/>
          <a:p>
            <a:pPr>
              <a:defRPr/>
            </a:pPr>
            <a:endParaRPr lang="ar-SA"/>
          </a:p>
        </c:txPr>
        <c:crossAx val="1508093600"/>
        <c:crosses val="autoZero"/>
        <c:auto val="1"/>
        <c:lblAlgn val="ctr"/>
        <c:lblOffset val="100"/>
        <c:tickLblSkip val="1"/>
        <c:tickMarkSkip val="1"/>
        <c:noMultiLvlLbl val="0"/>
      </c:catAx>
      <c:valAx>
        <c:axId val="1508093600"/>
        <c:scaling>
          <c:orientation val="minMax"/>
        </c:scaling>
        <c:delete val="0"/>
        <c:axPos val="l"/>
        <c:majorGridlines>
          <c:spPr>
            <a:ln>
              <a:solidFill>
                <a:schemeClr val="bg1">
                  <a:lumMod val="95000"/>
                </a:schemeClr>
              </a:solidFill>
            </a:ln>
          </c:spPr>
        </c:majorGridlines>
        <c:title>
          <c:tx>
            <c:rich>
              <a:bodyPr/>
              <a:lstStyle/>
              <a:p>
                <a:pPr>
                  <a:defRPr b="1"/>
                </a:pPr>
                <a:r>
                  <a:rPr lang="en-US" b="1"/>
                  <a:t>Value in million USD</a:t>
                </a:r>
                <a:endParaRPr lang="ar-SA" b="1"/>
              </a:p>
            </c:rich>
          </c:tx>
          <c:layout>
            <c:manualLayout>
              <c:xMode val="edge"/>
              <c:yMode val="edge"/>
              <c:x val="2.3628248884221579E-2"/>
              <c:y val="0.15733841196679682"/>
            </c:manualLayout>
          </c:layout>
          <c:overlay val="0"/>
          <c:spPr>
            <a:noFill/>
            <a:ln w="25358">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ar-SA"/>
          </a:p>
        </c:txPr>
        <c:crossAx val="1508083264"/>
        <c:crosses val="autoZero"/>
        <c:crossBetween val="midCat"/>
      </c:valAx>
    </c:plotArea>
    <c:legend>
      <c:legendPos val="t"/>
      <c:layout>
        <c:manualLayout>
          <c:xMode val="edge"/>
          <c:yMode val="edge"/>
          <c:x val="0.13510355705405555"/>
          <c:y val="2.2583559168925023E-2"/>
          <c:w val="0.71929123522200833"/>
          <c:h val="0.11619436798042519"/>
        </c:manualLayout>
      </c:layout>
      <c:overlay val="0"/>
      <c:spPr>
        <a:noFill/>
        <a:ln w="3170">
          <a:solidFill>
            <a:srgbClr val="000000"/>
          </a:solidFill>
          <a:prstDash val="solid"/>
        </a:ln>
      </c:spPr>
    </c:legend>
    <c:plotVisOnly val="1"/>
    <c:dispBlanksAs val="zero"/>
    <c:showDLblsOverMax val="0"/>
  </c:chart>
  <c:spPr>
    <a:noFill/>
    <a:ln>
      <a:noFill/>
    </a:ln>
  </c:spPr>
  <c:txPr>
    <a:bodyPr/>
    <a:lstStyle/>
    <a:p>
      <a:pPr algn="just">
        <a:defRPr sz="700" b="0" i="0" u="none" strike="noStrike" baseline="0">
          <a:solidFill>
            <a:srgbClr val="000000"/>
          </a:solidFill>
          <a:latin typeface="Arial"/>
          <a:ea typeface="Arial"/>
          <a:cs typeface="Arial"/>
        </a:defRPr>
      </a:pPr>
      <a:endParaRPr lang="ar-S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64C372-FD58-4754-922C-68B4FD68BD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20</Pages>
  <Words>5464</Words>
  <Characters>29438</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Land Use</vt:lpstr>
    </vt:vector>
  </TitlesOfParts>
  <Company>PCBS</Company>
  <LinksUpToDate>false</LinksUpToDate>
  <CharactersWithSpaces>34833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Land Use</dc:title>
  <dc:creator>YOUSEF</dc:creator>
  <cp:lastModifiedBy>Ghadeer Al-haj Ali</cp:lastModifiedBy>
  <cp:revision>20</cp:revision>
  <cp:lastPrinted>2021-12-13T09:38:00Z</cp:lastPrinted>
  <dcterms:created xsi:type="dcterms:W3CDTF">2021-12-09T07:23:00Z</dcterms:created>
  <dcterms:modified xsi:type="dcterms:W3CDTF">2021-12-13T11:04:00Z</dcterms:modified>
</cp:coreProperties>
</file>